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3F2B" w:rsidRDefault="00ED7639">
      <w:pPr>
        <w:spacing w:before="240"/>
        <w:jc w:val="center"/>
        <w:rPr>
          <w:b/>
          <w:u w:val="single"/>
        </w:rPr>
      </w:pPr>
      <w:bookmarkStart w:id="0" w:name="_GoBack"/>
      <w:bookmarkEnd w:id="0"/>
      <w:r>
        <w:rPr>
          <w:b/>
          <w:u w:val="single"/>
        </w:rPr>
        <w:t xml:space="preserve"> TÉRMINOS DE REFERENCIA PARA CONTRATACIÓN DE SERVICIOS EN GENERAL POR MONTOS MENORES A 8UIT</w:t>
      </w:r>
    </w:p>
    <w:p w:rsidR="00CD3F2B" w:rsidRDefault="00ED7639">
      <w:pPr>
        <w:spacing w:before="240" w:line="240" w:lineRule="auto"/>
        <w:jc w:val="center"/>
        <w:rPr>
          <w:b/>
        </w:rPr>
      </w:pPr>
      <w:r>
        <w:rPr>
          <w:b/>
        </w:rPr>
        <w:t xml:space="preserve"> TÉRMINOS DE REFERENCIA</w:t>
      </w:r>
    </w:p>
    <w:p w:rsidR="00CD3F2B" w:rsidRDefault="00ED7639">
      <w:pPr>
        <w:spacing w:before="240" w:line="240" w:lineRule="auto"/>
        <w:jc w:val="center"/>
        <w:rPr>
          <w:highlight w:val="lightGray"/>
        </w:rPr>
      </w:pPr>
      <w:r>
        <w:rPr>
          <w:b/>
        </w:rPr>
        <w:t>CONTRATACIÓN DEL SERVICIO PARA LA ELABORACIÓN DEL EXPEDIENTE TÉCNICO DEL PROYECTO LONG WAVELENGTH ARRAY (LWA)</w:t>
      </w:r>
    </w:p>
    <w:p w:rsidR="00CD3F2B" w:rsidRDefault="00CD3F2B"/>
    <w:p w:rsidR="00CD3F2B" w:rsidRDefault="00ED7639">
      <w:pPr>
        <w:numPr>
          <w:ilvl w:val="0"/>
          <w:numId w:val="5"/>
        </w:numPr>
        <w:spacing w:line="240" w:lineRule="auto"/>
        <w:ind w:left="360"/>
        <w:jc w:val="both"/>
        <w:rPr>
          <w:b/>
        </w:rPr>
      </w:pPr>
      <w:r>
        <w:rPr>
          <w:b/>
        </w:rPr>
        <w:t>ÁREA SOLICITANTE</w:t>
      </w:r>
    </w:p>
    <w:p w:rsidR="00CD3F2B" w:rsidRDefault="00CD3F2B">
      <w:pPr>
        <w:spacing w:line="240" w:lineRule="auto"/>
        <w:ind w:left="786" w:hanging="708"/>
        <w:jc w:val="both"/>
        <w:rPr>
          <w:b/>
        </w:rPr>
      </w:pPr>
    </w:p>
    <w:p w:rsidR="00CD3F2B" w:rsidRDefault="00ED7639">
      <w:pPr>
        <w:spacing w:line="240" w:lineRule="auto"/>
        <w:jc w:val="both"/>
      </w:pPr>
      <w:r>
        <w:t xml:space="preserve">Área de </w:t>
      </w:r>
      <w:proofErr w:type="spellStart"/>
      <w:r>
        <w:t>I&amp;</w:t>
      </w:r>
      <w:r>
        <w:t>D+i</w:t>
      </w:r>
      <w:proofErr w:type="spellEnd"/>
      <w:r>
        <w:t xml:space="preserve">  del Radio Observatorio de </w:t>
      </w:r>
      <w:proofErr w:type="spellStart"/>
      <w:r>
        <w:t>Jicamarca</w:t>
      </w:r>
      <w:proofErr w:type="spellEnd"/>
      <w:r>
        <w:t xml:space="preserve"> - Instituto Geofísico del Perú</w:t>
      </w:r>
    </w:p>
    <w:p w:rsidR="00CD3F2B" w:rsidRDefault="00CD3F2B">
      <w:pPr>
        <w:spacing w:line="240" w:lineRule="auto"/>
        <w:jc w:val="both"/>
        <w:rPr>
          <w:color w:val="548DD4"/>
        </w:rPr>
      </w:pPr>
    </w:p>
    <w:tbl>
      <w:tblPr>
        <w:tblStyle w:val="a"/>
        <w:tblW w:w="8358" w:type="dxa"/>
        <w:tblInd w:w="671" w:type="dxa"/>
        <w:tblLayout w:type="fixed"/>
        <w:tblLook w:val="0400" w:firstRow="0" w:lastRow="0" w:firstColumn="0" w:lastColumn="0" w:noHBand="0" w:noVBand="1"/>
      </w:tblPr>
      <w:tblGrid>
        <w:gridCol w:w="250"/>
        <w:gridCol w:w="2985"/>
        <w:gridCol w:w="113"/>
        <w:gridCol w:w="5010"/>
      </w:tblGrid>
      <w:tr w:rsidR="00CD3F2B">
        <w:tc>
          <w:tcPr>
            <w:tcW w:w="115" w:type="dxa"/>
          </w:tcPr>
          <w:p w:rsidR="00CD3F2B" w:rsidRDefault="00CD3F2B">
            <w:pPr>
              <w:widowControl w:val="0"/>
              <w:rPr>
                <w:color w:val="548DD4"/>
              </w:rPr>
            </w:pPr>
          </w:p>
        </w:tc>
        <w:tc>
          <w:tcPr>
            <w:tcW w:w="3150" w:type="dxa"/>
            <w:gridSpan w:val="2"/>
            <w:shd w:val="clear" w:color="auto" w:fill="auto"/>
          </w:tcPr>
          <w:p w:rsidR="00CD3F2B" w:rsidRDefault="00ED7639">
            <w:pPr>
              <w:spacing w:line="240" w:lineRule="auto"/>
              <w:jc w:val="both"/>
            </w:pPr>
            <w:r>
              <w:t>NOMBRE DEL PROYECTO</w:t>
            </w:r>
          </w:p>
        </w:tc>
        <w:tc>
          <w:tcPr>
            <w:tcW w:w="5097" w:type="dxa"/>
            <w:shd w:val="clear" w:color="auto" w:fill="auto"/>
          </w:tcPr>
          <w:p w:rsidR="00CD3F2B" w:rsidRDefault="00ED7639">
            <w:pPr>
              <w:spacing w:line="240" w:lineRule="auto"/>
              <w:ind w:left="60"/>
              <w:jc w:val="both"/>
            </w:pPr>
            <w:r>
              <w:t xml:space="preserve">: LWA - </w:t>
            </w:r>
            <w:proofErr w:type="spellStart"/>
            <w:r>
              <w:t>Peru</w:t>
            </w:r>
            <w:proofErr w:type="spellEnd"/>
          </w:p>
        </w:tc>
      </w:tr>
      <w:tr w:rsidR="00CD3F2B">
        <w:tc>
          <w:tcPr>
            <w:tcW w:w="115" w:type="dxa"/>
          </w:tcPr>
          <w:p w:rsidR="00CD3F2B" w:rsidRDefault="00CD3F2B">
            <w:pPr>
              <w:widowControl w:val="0"/>
            </w:pPr>
          </w:p>
        </w:tc>
        <w:tc>
          <w:tcPr>
            <w:tcW w:w="3150" w:type="dxa"/>
            <w:gridSpan w:val="2"/>
            <w:shd w:val="clear" w:color="auto" w:fill="auto"/>
          </w:tcPr>
          <w:p w:rsidR="00CD3F2B" w:rsidRDefault="00ED7639">
            <w:pPr>
              <w:spacing w:line="240" w:lineRule="auto"/>
              <w:jc w:val="both"/>
            </w:pPr>
            <w:r>
              <w:t xml:space="preserve">N° DEL CONVENIO           </w:t>
            </w:r>
          </w:p>
        </w:tc>
        <w:tc>
          <w:tcPr>
            <w:tcW w:w="5097" w:type="dxa"/>
            <w:shd w:val="clear" w:color="auto" w:fill="auto"/>
          </w:tcPr>
          <w:p w:rsidR="00CD3F2B" w:rsidRDefault="00ED7639">
            <w:pPr>
              <w:spacing w:line="240" w:lineRule="auto"/>
              <w:ind w:left="180"/>
              <w:jc w:val="both"/>
            </w:pPr>
            <w:r>
              <w:t>………………………………..</w:t>
            </w:r>
          </w:p>
        </w:tc>
      </w:tr>
      <w:tr w:rsidR="00CD3F2B">
        <w:tc>
          <w:tcPr>
            <w:tcW w:w="115" w:type="dxa"/>
          </w:tcPr>
          <w:p w:rsidR="00CD3F2B" w:rsidRDefault="00CD3F2B">
            <w:pPr>
              <w:widowControl w:val="0"/>
            </w:pPr>
          </w:p>
        </w:tc>
        <w:tc>
          <w:tcPr>
            <w:tcW w:w="3150" w:type="dxa"/>
            <w:gridSpan w:val="2"/>
            <w:shd w:val="clear" w:color="auto" w:fill="auto"/>
          </w:tcPr>
          <w:p w:rsidR="00CD3F2B" w:rsidRDefault="00CD3F2B">
            <w:pPr>
              <w:spacing w:line="240" w:lineRule="auto"/>
              <w:jc w:val="both"/>
            </w:pPr>
          </w:p>
        </w:tc>
        <w:tc>
          <w:tcPr>
            <w:tcW w:w="5097" w:type="dxa"/>
            <w:shd w:val="clear" w:color="auto" w:fill="auto"/>
          </w:tcPr>
          <w:p w:rsidR="00CD3F2B" w:rsidRDefault="00CD3F2B">
            <w:pPr>
              <w:spacing w:line="240" w:lineRule="auto"/>
              <w:ind w:left="180"/>
              <w:jc w:val="both"/>
            </w:pPr>
          </w:p>
        </w:tc>
      </w:tr>
      <w:tr w:rsidR="00CD3F2B">
        <w:tc>
          <w:tcPr>
            <w:tcW w:w="3150" w:type="dxa"/>
            <w:gridSpan w:val="2"/>
            <w:shd w:val="clear" w:color="auto" w:fill="auto"/>
          </w:tcPr>
          <w:p w:rsidR="00CD3F2B" w:rsidRDefault="00CD3F2B">
            <w:pPr>
              <w:spacing w:line="240" w:lineRule="auto"/>
              <w:jc w:val="both"/>
              <w:rPr>
                <w:b/>
                <w:color w:val="548DD4"/>
              </w:rPr>
            </w:pPr>
          </w:p>
        </w:tc>
        <w:tc>
          <w:tcPr>
            <w:tcW w:w="5211" w:type="dxa"/>
            <w:gridSpan w:val="2"/>
            <w:shd w:val="clear" w:color="auto" w:fill="auto"/>
          </w:tcPr>
          <w:p w:rsidR="00CD3F2B" w:rsidRDefault="00CD3F2B">
            <w:pPr>
              <w:spacing w:line="240" w:lineRule="auto"/>
              <w:ind w:left="180"/>
              <w:jc w:val="both"/>
              <w:rPr>
                <w:color w:val="548DD4"/>
              </w:rPr>
            </w:pPr>
          </w:p>
        </w:tc>
      </w:tr>
    </w:tbl>
    <w:p w:rsidR="00CD3F2B" w:rsidRDefault="00ED7639">
      <w:pPr>
        <w:numPr>
          <w:ilvl w:val="0"/>
          <w:numId w:val="5"/>
        </w:numPr>
        <w:spacing w:line="240" w:lineRule="auto"/>
        <w:ind w:left="425"/>
        <w:jc w:val="both"/>
        <w:rPr>
          <w:b/>
        </w:rPr>
      </w:pPr>
      <w:r>
        <w:rPr>
          <w:b/>
        </w:rPr>
        <w:t>ANTECEDENTES</w:t>
      </w:r>
    </w:p>
    <w:p w:rsidR="00CD3F2B" w:rsidRDefault="00CD3F2B">
      <w:pPr>
        <w:spacing w:line="240" w:lineRule="auto"/>
        <w:ind w:left="786" w:hanging="708"/>
        <w:jc w:val="both"/>
      </w:pPr>
    </w:p>
    <w:p w:rsidR="00CD3F2B" w:rsidRDefault="00ED7639">
      <w:pPr>
        <w:spacing w:line="240" w:lineRule="auto"/>
        <w:ind w:left="425"/>
        <w:jc w:val="both"/>
      </w:pPr>
      <w:r>
        <w:rPr>
          <w:color w:val="222222"/>
        </w:rPr>
        <w:t xml:space="preserve">El Radio Observatorio de </w:t>
      </w:r>
      <w:proofErr w:type="spellStart"/>
      <w:r>
        <w:rPr>
          <w:color w:val="222222"/>
        </w:rPr>
        <w:t>Jicamarca</w:t>
      </w:r>
      <w:proofErr w:type="spellEnd"/>
      <w:r>
        <w:rPr>
          <w:color w:val="222222"/>
        </w:rPr>
        <w:t xml:space="preserve"> (ROJ-IGP), sede del Instituto Geofísico, cuenta con diferentes sistemas de radar, entre los que podemos mencionar radares </w:t>
      </w:r>
      <w:proofErr w:type="spellStart"/>
      <w:r>
        <w:rPr>
          <w:color w:val="222222"/>
        </w:rPr>
        <w:t>ionosféricos</w:t>
      </w:r>
      <w:proofErr w:type="spellEnd"/>
      <w:r>
        <w:rPr>
          <w:color w:val="222222"/>
        </w:rPr>
        <w:t>, radares MST y perfiladores de vientos. A lo largo de los años el IGP se ha convertido</w:t>
      </w:r>
      <w:r>
        <w:rPr>
          <w:color w:val="222222"/>
        </w:rPr>
        <w:t xml:space="preserve"> en una institución líder en tecnología de radares, es así que gracias a un convenio con la universidad de Texas en Dallas UTD, </w:t>
      </w:r>
      <w:r>
        <w:t xml:space="preserve">se realizará la instalación de 2 estaciones de </w:t>
      </w:r>
      <w:proofErr w:type="gramStart"/>
      <w:r>
        <w:t>recepción</w:t>
      </w:r>
      <w:proofErr w:type="gramEnd"/>
      <w:r>
        <w:t xml:space="preserve"> del tipo LWA (Long </w:t>
      </w:r>
      <w:proofErr w:type="spellStart"/>
      <w:r>
        <w:t>Wavelength</w:t>
      </w:r>
      <w:proofErr w:type="spellEnd"/>
      <w:r>
        <w:t xml:space="preserve"> </w:t>
      </w:r>
      <w:proofErr w:type="spellStart"/>
      <w:r>
        <w:t>Array</w:t>
      </w:r>
      <w:proofErr w:type="spellEnd"/>
      <w:r>
        <w:t>) cada una compuesta por 256 antenas</w:t>
      </w:r>
      <w:r>
        <w:t xml:space="preserve"> de doble polarización distribuidas aleatoriamente en un área de 100 m de diámetro.  Los sistemas a construirse están basados en el sistema desarrollado e instalado en la Universidad de Nuevo México, EE.UU.</w:t>
      </w:r>
    </w:p>
    <w:p w:rsidR="00CD3F2B" w:rsidRDefault="00CD3F2B">
      <w:pPr>
        <w:spacing w:line="240" w:lineRule="auto"/>
        <w:jc w:val="both"/>
      </w:pPr>
    </w:p>
    <w:p w:rsidR="00CD3F2B" w:rsidRDefault="00ED7639">
      <w:pPr>
        <w:numPr>
          <w:ilvl w:val="0"/>
          <w:numId w:val="5"/>
        </w:numPr>
        <w:spacing w:line="240" w:lineRule="auto"/>
        <w:ind w:left="425"/>
        <w:jc w:val="both"/>
        <w:rPr>
          <w:b/>
        </w:rPr>
      </w:pPr>
      <w:r>
        <w:rPr>
          <w:b/>
        </w:rPr>
        <w:t>OBJETO DE LA CONTRATACIÓN</w:t>
      </w:r>
    </w:p>
    <w:p w:rsidR="00CD3F2B" w:rsidRDefault="00CD3F2B">
      <w:pPr>
        <w:spacing w:line="240" w:lineRule="auto"/>
        <w:ind w:left="786" w:hanging="708"/>
        <w:jc w:val="both"/>
      </w:pPr>
    </w:p>
    <w:p w:rsidR="00CD3F2B" w:rsidRDefault="00ED7639">
      <w:pPr>
        <w:spacing w:line="240" w:lineRule="auto"/>
        <w:ind w:left="425"/>
        <w:jc w:val="both"/>
      </w:pPr>
      <w:r>
        <w:t>Contratar el servicio</w:t>
      </w:r>
      <w:r>
        <w:t xml:space="preserve"> de la elaboración de dos expedientes técnicos para la preparación del terreno donde se ubicará el sistema de recepción del proyecto Long </w:t>
      </w:r>
      <w:proofErr w:type="spellStart"/>
      <w:r>
        <w:t>Wavelength</w:t>
      </w:r>
      <w:proofErr w:type="spellEnd"/>
      <w:r>
        <w:t xml:space="preserve"> </w:t>
      </w:r>
      <w:proofErr w:type="spellStart"/>
      <w:r>
        <w:t>Array</w:t>
      </w:r>
      <w:proofErr w:type="spellEnd"/>
      <w:r>
        <w:t xml:space="preserve"> (LWA) en la Sede de la Pontificia Universidad Católica del Perú (PUCP) - Campus Sur, con el fin de in</w:t>
      </w:r>
      <w:r>
        <w:t>iciar con los servicios necesarios para el acondicionamiento en la sede mencionada.</w:t>
      </w:r>
    </w:p>
    <w:p w:rsidR="00CD3F2B" w:rsidRDefault="00CD3F2B">
      <w:pPr>
        <w:spacing w:line="240" w:lineRule="auto"/>
        <w:jc w:val="both"/>
      </w:pPr>
    </w:p>
    <w:p w:rsidR="00CD3F2B" w:rsidRDefault="00ED7639">
      <w:pPr>
        <w:numPr>
          <w:ilvl w:val="0"/>
          <w:numId w:val="5"/>
        </w:numPr>
        <w:spacing w:line="240" w:lineRule="auto"/>
        <w:ind w:left="425"/>
        <w:jc w:val="both"/>
        <w:rPr>
          <w:b/>
        </w:rPr>
      </w:pPr>
      <w:r>
        <w:rPr>
          <w:b/>
        </w:rPr>
        <w:t>FINALIDAD PÚBLICA</w:t>
      </w:r>
    </w:p>
    <w:p w:rsidR="00CD3F2B" w:rsidRDefault="00ED7639">
      <w:pPr>
        <w:spacing w:line="240" w:lineRule="auto"/>
        <w:ind w:left="786" w:hanging="708"/>
        <w:jc w:val="both"/>
      </w:pPr>
      <w:r>
        <w:rPr>
          <w:b/>
        </w:rPr>
        <w:tab/>
      </w:r>
    </w:p>
    <w:p w:rsidR="00CD3F2B" w:rsidRDefault="00ED7639">
      <w:pPr>
        <w:ind w:left="425"/>
        <w:jc w:val="both"/>
      </w:pPr>
      <w:r>
        <w:t>La finalidad pública de esta contratación es fortalecer las capacidades de investigación científica del ROJ-IGP mediante la instalación de receptores d</w:t>
      </w:r>
      <w:r>
        <w:t xml:space="preserve">el proyecto Long </w:t>
      </w:r>
      <w:proofErr w:type="spellStart"/>
      <w:r>
        <w:t>Wavelength</w:t>
      </w:r>
      <w:proofErr w:type="spellEnd"/>
      <w:r>
        <w:t xml:space="preserve"> </w:t>
      </w:r>
      <w:proofErr w:type="spellStart"/>
      <w:r>
        <w:t>Array</w:t>
      </w:r>
      <w:proofErr w:type="spellEnd"/>
      <w:r>
        <w:t xml:space="preserve"> (LWA) en la Sede de la Pontificia Universidad Católica del Perú (PUCP) - Campus Sur para lo </w:t>
      </w:r>
      <w:proofErr w:type="spellStart"/>
      <w:r>
        <w:t>cuál</w:t>
      </w:r>
      <w:proofErr w:type="spellEnd"/>
      <w:r>
        <w:t xml:space="preserve"> es necesaria la adecuación de su infraestructura, que permitirá realizar investigaciones </w:t>
      </w:r>
      <w:proofErr w:type="spellStart"/>
      <w:r>
        <w:t>ionosféricas</w:t>
      </w:r>
      <w:proofErr w:type="spellEnd"/>
      <w:r>
        <w:t xml:space="preserve"> avanzadas y complementa</w:t>
      </w:r>
      <w:r>
        <w:t xml:space="preserve">rias, contribuyendo así al desarrollo del conocimiento científico y tecnológico en el campo de la geofísica y beneficiando al país con avances en la comprensión del comportamiento </w:t>
      </w:r>
      <w:proofErr w:type="spellStart"/>
      <w:r>
        <w:t>ionosférico</w:t>
      </w:r>
      <w:proofErr w:type="spellEnd"/>
      <w:r>
        <w:t xml:space="preserve"> y su impacto en las comunicaciones y otras aplicaciones científi</w:t>
      </w:r>
      <w:r>
        <w:t>cas.</w:t>
      </w:r>
    </w:p>
    <w:p w:rsidR="00CD3F2B" w:rsidRDefault="00CD3F2B">
      <w:pPr>
        <w:jc w:val="both"/>
      </w:pPr>
    </w:p>
    <w:p w:rsidR="00CD3F2B" w:rsidRDefault="00ED7639">
      <w:pPr>
        <w:numPr>
          <w:ilvl w:val="0"/>
          <w:numId w:val="5"/>
        </w:numPr>
        <w:spacing w:line="240" w:lineRule="auto"/>
        <w:ind w:left="425"/>
        <w:jc w:val="both"/>
        <w:rPr>
          <w:b/>
        </w:rPr>
      </w:pPr>
      <w:r>
        <w:rPr>
          <w:b/>
        </w:rPr>
        <w:t>DESCRIPCIÓN DEL SERVICIO</w:t>
      </w:r>
    </w:p>
    <w:p w:rsidR="00CD3F2B" w:rsidRDefault="00CD3F2B">
      <w:pPr>
        <w:spacing w:line="240" w:lineRule="auto"/>
        <w:jc w:val="both"/>
      </w:pPr>
    </w:p>
    <w:p w:rsidR="00CD3F2B" w:rsidRDefault="00CD3F2B">
      <w:pPr>
        <w:spacing w:line="240" w:lineRule="auto"/>
        <w:jc w:val="both"/>
      </w:pPr>
    </w:p>
    <w:tbl>
      <w:tblPr>
        <w:tblStyle w:val="a0"/>
        <w:tblW w:w="808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35"/>
        <w:gridCol w:w="2190"/>
        <w:gridCol w:w="5160"/>
      </w:tblGrid>
      <w:tr w:rsidR="00CD3F2B">
        <w:trPr>
          <w:trHeight w:val="400"/>
          <w:jc w:val="center"/>
        </w:trPr>
        <w:tc>
          <w:tcPr>
            <w:tcW w:w="8085" w:type="dxa"/>
            <w:gridSpan w:val="3"/>
            <w:shd w:val="clear" w:color="auto" w:fill="auto"/>
          </w:tcPr>
          <w:p w:rsidR="00CD3F2B" w:rsidRDefault="00ED7639">
            <w:pPr>
              <w:spacing w:before="200" w:after="200" w:line="240" w:lineRule="auto"/>
              <w:jc w:val="both"/>
              <w:rPr>
                <w:b/>
              </w:rPr>
            </w:pPr>
            <w:r>
              <w:t xml:space="preserve">Servicio para la elaboración del expediente técnico del proyecto Long </w:t>
            </w:r>
            <w:proofErr w:type="spellStart"/>
            <w:r>
              <w:lastRenderedPageBreak/>
              <w:t>Wavelength</w:t>
            </w:r>
            <w:proofErr w:type="spellEnd"/>
            <w:r>
              <w:t xml:space="preserve"> </w:t>
            </w:r>
            <w:proofErr w:type="spellStart"/>
            <w:r>
              <w:t>Array</w:t>
            </w:r>
            <w:proofErr w:type="spellEnd"/>
            <w:r>
              <w:t xml:space="preserve"> (LWA).</w:t>
            </w:r>
          </w:p>
        </w:tc>
      </w:tr>
      <w:tr w:rsidR="00CD3F2B">
        <w:trPr>
          <w:trHeight w:val="400"/>
          <w:jc w:val="center"/>
        </w:trPr>
        <w:tc>
          <w:tcPr>
            <w:tcW w:w="8085" w:type="dxa"/>
            <w:gridSpan w:val="3"/>
            <w:shd w:val="clear" w:color="auto" w:fill="auto"/>
          </w:tcPr>
          <w:p w:rsidR="00CD3F2B" w:rsidRDefault="00ED7639">
            <w:pPr>
              <w:spacing w:line="240" w:lineRule="auto"/>
              <w:rPr>
                <w:b/>
              </w:rPr>
            </w:pPr>
            <w:r>
              <w:rPr>
                <w:b/>
              </w:rPr>
              <w:lastRenderedPageBreak/>
              <w:t>5.1. EXPEDIENTES TÉCNICOS</w:t>
            </w:r>
          </w:p>
        </w:tc>
      </w:tr>
      <w:tr w:rsidR="00CD3F2B">
        <w:trPr>
          <w:trHeight w:val="520"/>
          <w:jc w:val="center"/>
        </w:trPr>
        <w:tc>
          <w:tcPr>
            <w:tcW w:w="735" w:type="dxa"/>
            <w:shd w:val="clear" w:color="auto" w:fill="auto"/>
          </w:tcPr>
          <w:p w:rsidR="00CD3F2B" w:rsidRDefault="00ED7639">
            <w:pPr>
              <w:spacing w:line="240" w:lineRule="auto"/>
            </w:pPr>
            <w:r>
              <w:t>5.1.1</w:t>
            </w:r>
          </w:p>
        </w:tc>
        <w:tc>
          <w:tcPr>
            <w:tcW w:w="2190" w:type="dxa"/>
            <w:shd w:val="clear" w:color="auto" w:fill="auto"/>
          </w:tcPr>
          <w:p w:rsidR="00CD3F2B" w:rsidRDefault="00ED7639">
            <w:pPr>
              <w:spacing w:line="240" w:lineRule="auto"/>
              <w:ind w:right="60"/>
              <w:jc w:val="both"/>
            </w:pPr>
            <w:r>
              <w:t>Consideraciones</w:t>
            </w:r>
          </w:p>
        </w:tc>
        <w:tc>
          <w:tcPr>
            <w:tcW w:w="5160" w:type="dxa"/>
          </w:tcPr>
          <w:p w:rsidR="00CD3F2B" w:rsidRDefault="00ED7639">
            <w:pPr>
              <w:numPr>
                <w:ilvl w:val="0"/>
                <w:numId w:val="10"/>
              </w:numPr>
              <w:spacing w:line="240" w:lineRule="auto"/>
              <w:ind w:left="141" w:hanging="150"/>
            </w:pPr>
            <w:r>
              <w:t>La elaboración del expediente técnico debe estar sujeto a las normas técnicas establecidas por el Ministerio de Vivienda, Construcción y Saneamiento del Estado Peruano.</w:t>
            </w:r>
          </w:p>
          <w:p w:rsidR="00CD3F2B" w:rsidRDefault="00ED7639">
            <w:pPr>
              <w:numPr>
                <w:ilvl w:val="0"/>
                <w:numId w:val="10"/>
              </w:numPr>
              <w:spacing w:line="240" w:lineRule="auto"/>
              <w:ind w:left="141" w:hanging="150"/>
            </w:pPr>
            <w:r>
              <w:t>Cada plano deberá estar debidamente firmado y con sello (por un profesional colegiado y</w:t>
            </w:r>
            <w:r>
              <w:t xml:space="preserve"> habilitado).</w:t>
            </w:r>
          </w:p>
          <w:p w:rsidR="00CD3F2B" w:rsidRDefault="00ED7639">
            <w:pPr>
              <w:numPr>
                <w:ilvl w:val="0"/>
                <w:numId w:val="10"/>
              </w:numPr>
              <w:spacing w:line="240" w:lineRule="auto"/>
              <w:ind w:left="141" w:hanging="150"/>
            </w:pPr>
            <w:r>
              <w:t>El expediente técnico se debe entregar de forma digital e impresa.</w:t>
            </w:r>
          </w:p>
        </w:tc>
      </w:tr>
      <w:tr w:rsidR="00CD3F2B">
        <w:trPr>
          <w:trHeight w:val="520"/>
          <w:jc w:val="center"/>
        </w:trPr>
        <w:tc>
          <w:tcPr>
            <w:tcW w:w="735" w:type="dxa"/>
            <w:shd w:val="clear" w:color="auto" w:fill="auto"/>
          </w:tcPr>
          <w:p w:rsidR="00CD3F2B" w:rsidRDefault="00ED7639">
            <w:pPr>
              <w:spacing w:line="240" w:lineRule="auto"/>
              <w:jc w:val="center"/>
            </w:pPr>
            <w:r>
              <w:t>5.1.2</w:t>
            </w:r>
          </w:p>
        </w:tc>
        <w:tc>
          <w:tcPr>
            <w:tcW w:w="2190" w:type="dxa"/>
            <w:shd w:val="clear" w:color="auto" w:fill="auto"/>
          </w:tcPr>
          <w:p w:rsidR="00CD3F2B" w:rsidRDefault="00ED7639">
            <w:pPr>
              <w:spacing w:line="240" w:lineRule="auto"/>
              <w:ind w:right="60"/>
              <w:jc w:val="both"/>
            </w:pPr>
            <w:r>
              <w:t>Alcances mínimos</w:t>
            </w:r>
          </w:p>
        </w:tc>
        <w:tc>
          <w:tcPr>
            <w:tcW w:w="5160" w:type="dxa"/>
          </w:tcPr>
          <w:p w:rsidR="00CD3F2B" w:rsidRDefault="00ED7639">
            <w:r>
              <w:t>El alcance del expediente técnico debe tener, como mínimo, lo siguiente:</w:t>
            </w:r>
          </w:p>
          <w:p w:rsidR="00CD3F2B" w:rsidRDefault="00ED7639">
            <w:pPr>
              <w:numPr>
                <w:ilvl w:val="0"/>
                <w:numId w:val="10"/>
              </w:numPr>
              <w:spacing w:line="240" w:lineRule="auto"/>
              <w:ind w:left="141" w:hanging="150"/>
            </w:pPr>
            <w:r>
              <w:t>Ficha técnica</w:t>
            </w:r>
          </w:p>
          <w:p w:rsidR="00CD3F2B" w:rsidRDefault="00ED7639">
            <w:pPr>
              <w:numPr>
                <w:ilvl w:val="0"/>
                <w:numId w:val="10"/>
              </w:numPr>
              <w:spacing w:line="240" w:lineRule="auto"/>
              <w:ind w:left="141" w:hanging="150"/>
            </w:pPr>
            <w:r>
              <w:t>Resumen ejecutivo</w:t>
            </w:r>
          </w:p>
          <w:p w:rsidR="00CD3F2B" w:rsidRDefault="00ED7639">
            <w:pPr>
              <w:numPr>
                <w:ilvl w:val="0"/>
                <w:numId w:val="10"/>
              </w:numPr>
              <w:spacing w:line="240" w:lineRule="auto"/>
              <w:ind w:left="141" w:hanging="150"/>
            </w:pPr>
            <w:r>
              <w:t>Memoria descriptiva y cálculo</w:t>
            </w:r>
          </w:p>
          <w:p w:rsidR="00CD3F2B" w:rsidRDefault="00ED7639">
            <w:pPr>
              <w:numPr>
                <w:ilvl w:val="0"/>
                <w:numId w:val="10"/>
              </w:numPr>
              <w:spacing w:line="240" w:lineRule="auto"/>
              <w:ind w:left="141" w:hanging="150"/>
            </w:pPr>
            <w:r>
              <w:t>Especificaciones técnicas</w:t>
            </w:r>
          </w:p>
          <w:p w:rsidR="00CD3F2B" w:rsidRDefault="00ED7639">
            <w:pPr>
              <w:numPr>
                <w:ilvl w:val="0"/>
                <w:numId w:val="10"/>
              </w:numPr>
              <w:spacing w:line="240" w:lineRule="auto"/>
              <w:ind w:left="141" w:hanging="150"/>
            </w:pPr>
            <w:proofErr w:type="spellStart"/>
            <w:r>
              <w:t>Metrados</w:t>
            </w:r>
            <w:proofErr w:type="spellEnd"/>
          </w:p>
          <w:p w:rsidR="00CD3F2B" w:rsidRDefault="00ED7639">
            <w:pPr>
              <w:numPr>
                <w:ilvl w:val="1"/>
                <w:numId w:val="10"/>
              </w:numPr>
              <w:spacing w:line="240" w:lineRule="auto"/>
              <w:ind w:left="566"/>
            </w:pPr>
            <w:r>
              <w:t xml:space="preserve">Resumen de </w:t>
            </w:r>
            <w:proofErr w:type="spellStart"/>
            <w:r>
              <w:t>metrados</w:t>
            </w:r>
            <w:proofErr w:type="spellEnd"/>
          </w:p>
          <w:p w:rsidR="00CD3F2B" w:rsidRDefault="00ED7639">
            <w:pPr>
              <w:numPr>
                <w:ilvl w:val="1"/>
                <w:numId w:val="10"/>
              </w:numPr>
              <w:spacing w:line="240" w:lineRule="auto"/>
              <w:ind w:left="566"/>
            </w:pPr>
            <w:r>
              <w:t xml:space="preserve">Planilla de </w:t>
            </w:r>
            <w:proofErr w:type="spellStart"/>
            <w:r>
              <w:t>metrados</w:t>
            </w:r>
            <w:proofErr w:type="spellEnd"/>
          </w:p>
          <w:p w:rsidR="00CD3F2B" w:rsidRDefault="00ED7639">
            <w:pPr>
              <w:numPr>
                <w:ilvl w:val="0"/>
                <w:numId w:val="10"/>
              </w:numPr>
              <w:spacing w:line="240" w:lineRule="auto"/>
              <w:ind w:left="141" w:hanging="150"/>
            </w:pPr>
            <w:r>
              <w:t>Presupuesto de obra</w:t>
            </w:r>
          </w:p>
          <w:p w:rsidR="00CD3F2B" w:rsidRDefault="00ED7639">
            <w:pPr>
              <w:numPr>
                <w:ilvl w:val="1"/>
                <w:numId w:val="10"/>
              </w:numPr>
              <w:spacing w:line="240" w:lineRule="auto"/>
              <w:ind w:left="566"/>
            </w:pPr>
            <w:r>
              <w:t>Resumen presupuesto</w:t>
            </w:r>
          </w:p>
          <w:p w:rsidR="00CD3F2B" w:rsidRDefault="00ED7639">
            <w:pPr>
              <w:numPr>
                <w:ilvl w:val="1"/>
                <w:numId w:val="10"/>
              </w:numPr>
              <w:spacing w:line="240" w:lineRule="auto"/>
              <w:ind w:left="566"/>
            </w:pPr>
            <w:r>
              <w:t>Presupuesto de obra</w:t>
            </w:r>
          </w:p>
          <w:p w:rsidR="00CD3F2B" w:rsidRDefault="00ED7639">
            <w:pPr>
              <w:numPr>
                <w:ilvl w:val="1"/>
                <w:numId w:val="10"/>
              </w:numPr>
              <w:spacing w:line="240" w:lineRule="auto"/>
              <w:ind w:left="566"/>
            </w:pPr>
            <w:r>
              <w:t>Desagregado de gastos generales</w:t>
            </w:r>
          </w:p>
          <w:p w:rsidR="00CD3F2B" w:rsidRDefault="00ED7639">
            <w:pPr>
              <w:numPr>
                <w:ilvl w:val="0"/>
                <w:numId w:val="10"/>
              </w:numPr>
              <w:spacing w:line="240" w:lineRule="auto"/>
              <w:ind w:left="141" w:hanging="150"/>
            </w:pPr>
            <w:r>
              <w:t>Análisis de costos unitarios</w:t>
            </w:r>
          </w:p>
          <w:p w:rsidR="00CD3F2B" w:rsidRDefault="00ED7639">
            <w:pPr>
              <w:numPr>
                <w:ilvl w:val="1"/>
                <w:numId w:val="10"/>
              </w:numPr>
              <w:spacing w:line="240" w:lineRule="auto"/>
              <w:ind w:left="566"/>
            </w:pPr>
            <w:r>
              <w:t>Análisis de precios unitarios</w:t>
            </w:r>
          </w:p>
          <w:p w:rsidR="00CD3F2B" w:rsidRDefault="00ED7639">
            <w:pPr>
              <w:numPr>
                <w:ilvl w:val="1"/>
                <w:numId w:val="10"/>
              </w:numPr>
              <w:spacing w:line="240" w:lineRule="auto"/>
              <w:ind w:left="566"/>
            </w:pPr>
            <w:r>
              <w:t>Desglose de costos unitarios GLB</w:t>
            </w:r>
          </w:p>
          <w:p w:rsidR="00CD3F2B" w:rsidRDefault="00ED7639">
            <w:pPr>
              <w:numPr>
                <w:ilvl w:val="0"/>
                <w:numId w:val="10"/>
              </w:numPr>
              <w:spacing w:line="240" w:lineRule="auto"/>
              <w:ind w:left="141" w:hanging="150"/>
            </w:pPr>
            <w:r>
              <w:t>Relación de insumos</w:t>
            </w:r>
          </w:p>
          <w:p w:rsidR="00CD3F2B" w:rsidRDefault="00ED7639">
            <w:pPr>
              <w:numPr>
                <w:ilvl w:val="0"/>
                <w:numId w:val="10"/>
              </w:numPr>
              <w:spacing w:line="240" w:lineRule="auto"/>
              <w:ind w:left="141" w:hanging="150"/>
            </w:pPr>
            <w:r>
              <w:t>Cronogramas</w:t>
            </w:r>
          </w:p>
          <w:p w:rsidR="00CD3F2B" w:rsidRDefault="00ED7639">
            <w:pPr>
              <w:numPr>
                <w:ilvl w:val="1"/>
                <w:numId w:val="10"/>
              </w:numPr>
              <w:spacing w:line="240" w:lineRule="auto"/>
              <w:ind w:left="566"/>
            </w:pPr>
            <w:r>
              <w:t>Cronograma de ejecución de obras - GANT</w:t>
            </w:r>
          </w:p>
          <w:p w:rsidR="00CD3F2B" w:rsidRDefault="00ED7639">
            <w:pPr>
              <w:numPr>
                <w:ilvl w:val="1"/>
                <w:numId w:val="10"/>
              </w:numPr>
              <w:spacing w:line="240" w:lineRule="auto"/>
              <w:ind w:left="566"/>
            </w:pPr>
            <w:r>
              <w:t>Cronograma valorizado de obra</w:t>
            </w:r>
          </w:p>
          <w:p w:rsidR="00CD3F2B" w:rsidRDefault="00ED7639">
            <w:pPr>
              <w:numPr>
                <w:ilvl w:val="1"/>
                <w:numId w:val="10"/>
              </w:numPr>
              <w:spacing w:line="240" w:lineRule="auto"/>
              <w:ind w:left="566"/>
            </w:pPr>
            <w:r>
              <w:t>Cronograma de adquisición de materiales (según corresponda)</w:t>
            </w:r>
          </w:p>
          <w:p w:rsidR="00CD3F2B" w:rsidRDefault="00ED7639">
            <w:pPr>
              <w:numPr>
                <w:ilvl w:val="0"/>
                <w:numId w:val="10"/>
              </w:numPr>
              <w:spacing w:line="240" w:lineRule="auto"/>
              <w:ind w:left="141" w:hanging="150"/>
            </w:pPr>
            <w:r>
              <w:t>Panel fotográfico</w:t>
            </w:r>
          </w:p>
          <w:p w:rsidR="00CD3F2B" w:rsidRDefault="00ED7639">
            <w:pPr>
              <w:numPr>
                <w:ilvl w:val="0"/>
                <w:numId w:val="10"/>
              </w:numPr>
              <w:spacing w:line="240" w:lineRule="auto"/>
              <w:ind w:left="141" w:hanging="150"/>
            </w:pPr>
            <w:r>
              <w:t>Estudios de ingeniería (según corresponda)</w:t>
            </w:r>
          </w:p>
          <w:p w:rsidR="00CD3F2B" w:rsidRDefault="00ED7639">
            <w:pPr>
              <w:numPr>
                <w:ilvl w:val="1"/>
                <w:numId w:val="10"/>
              </w:numPr>
              <w:spacing w:line="240" w:lineRule="auto"/>
              <w:ind w:left="566"/>
            </w:pPr>
            <w:r>
              <w:t>Estudio topográfico</w:t>
            </w:r>
          </w:p>
          <w:p w:rsidR="00CD3F2B" w:rsidRDefault="00ED7639">
            <w:pPr>
              <w:numPr>
                <w:ilvl w:val="1"/>
                <w:numId w:val="10"/>
              </w:numPr>
              <w:spacing w:line="240" w:lineRule="auto"/>
              <w:ind w:left="566"/>
            </w:pPr>
            <w:r>
              <w:t>Estudio de suelos</w:t>
            </w:r>
          </w:p>
          <w:p w:rsidR="00CD3F2B" w:rsidRDefault="00ED7639">
            <w:pPr>
              <w:numPr>
                <w:ilvl w:val="1"/>
                <w:numId w:val="10"/>
              </w:numPr>
              <w:spacing w:line="240" w:lineRule="auto"/>
              <w:ind w:left="566"/>
            </w:pPr>
            <w:r>
              <w:t>Estudio de gestión de riesgos</w:t>
            </w:r>
          </w:p>
          <w:p w:rsidR="00CD3F2B" w:rsidRDefault="00ED7639">
            <w:pPr>
              <w:numPr>
                <w:ilvl w:val="1"/>
                <w:numId w:val="10"/>
              </w:numPr>
              <w:spacing w:line="240" w:lineRule="auto"/>
              <w:ind w:left="566"/>
            </w:pPr>
            <w:r>
              <w:t>Certificado de inexistencia de restos arqueológicos (CIRA)</w:t>
            </w:r>
          </w:p>
          <w:p w:rsidR="00CD3F2B" w:rsidRDefault="00ED7639">
            <w:pPr>
              <w:numPr>
                <w:ilvl w:val="0"/>
                <w:numId w:val="10"/>
              </w:numPr>
              <w:spacing w:line="240" w:lineRule="auto"/>
              <w:ind w:left="141" w:hanging="150"/>
            </w:pPr>
            <w:r>
              <w:t>Planos</w:t>
            </w:r>
          </w:p>
          <w:p w:rsidR="00CD3F2B" w:rsidRDefault="00ED7639">
            <w:pPr>
              <w:numPr>
                <w:ilvl w:val="0"/>
                <w:numId w:val="10"/>
              </w:numPr>
              <w:spacing w:line="240" w:lineRule="auto"/>
              <w:ind w:left="141" w:hanging="150"/>
            </w:pPr>
            <w:r>
              <w:t>Anexos</w:t>
            </w:r>
          </w:p>
          <w:p w:rsidR="00CD3F2B" w:rsidRDefault="00ED7639">
            <w:pPr>
              <w:numPr>
                <w:ilvl w:val="1"/>
                <w:numId w:val="10"/>
              </w:numPr>
              <w:spacing w:line="240" w:lineRule="auto"/>
              <w:ind w:left="566"/>
            </w:pPr>
            <w:r>
              <w:t>Cotizaciones de insumos o proveedores</w:t>
            </w:r>
          </w:p>
        </w:tc>
      </w:tr>
      <w:tr w:rsidR="00CD3F2B">
        <w:trPr>
          <w:trHeight w:val="520"/>
          <w:jc w:val="center"/>
        </w:trPr>
        <w:tc>
          <w:tcPr>
            <w:tcW w:w="735" w:type="dxa"/>
            <w:shd w:val="clear" w:color="auto" w:fill="auto"/>
          </w:tcPr>
          <w:p w:rsidR="00CD3F2B" w:rsidRDefault="00ED7639">
            <w:pPr>
              <w:spacing w:line="240" w:lineRule="auto"/>
              <w:jc w:val="center"/>
            </w:pPr>
            <w:r>
              <w:t>5.1.3</w:t>
            </w:r>
          </w:p>
        </w:tc>
        <w:tc>
          <w:tcPr>
            <w:tcW w:w="2190" w:type="dxa"/>
            <w:shd w:val="clear" w:color="auto" w:fill="auto"/>
          </w:tcPr>
          <w:p w:rsidR="00CD3F2B" w:rsidRDefault="00ED7639">
            <w:pPr>
              <w:spacing w:line="240" w:lineRule="auto"/>
              <w:ind w:right="60"/>
              <w:jc w:val="both"/>
            </w:pPr>
            <w:r>
              <w:t>Finalidad de los expedientes técnicos</w:t>
            </w:r>
          </w:p>
        </w:tc>
        <w:tc>
          <w:tcPr>
            <w:tcW w:w="5160" w:type="dxa"/>
          </w:tcPr>
          <w:p w:rsidR="00CD3F2B" w:rsidRDefault="00ED7639">
            <w:pPr>
              <w:numPr>
                <w:ilvl w:val="0"/>
                <w:numId w:val="10"/>
              </w:numPr>
              <w:spacing w:line="240" w:lineRule="auto"/>
              <w:ind w:left="141" w:hanging="150"/>
            </w:pPr>
            <w:r>
              <w:t xml:space="preserve">Inicio de las obras civiles y eléctricas del proyecto Long </w:t>
            </w:r>
            <w:proofErr w:type="spellStart"/>
            <w:r>
              <w:t>Wavelength</w:t>
            </w:r>
            <w:proofErr w:type="spellEnd"/>
            <w:r>
              <w:t xml:space="preserve"> </w:t>
            </w:r>
            <w:proofErr w:type="spellStart"/>
            <w:r>
              <w:t>Array</w:t>
            </w:r>
            <w:proofErr w:type="spellEnd"/>
            <w:r>
              <w:t>.</w:t>
            </w:r>
          </w:p>
        </w:tc>
      </w:tr>
    </w:tbl>
    <w:p w:rsidR="00CD3F2B" w:rsidRDefault="00CD3F2B">
      <w:pPr>
        <w:spacing w:line="240" w:lineRule="auto"/>
        <w:jc w:val="both"/>
      </w:pPr>
    </w:p>
    <w:tbl>
      <w:tblPr>
        <w:tblStyle w:val="a1"/>
        <w:tblW w:w="808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0"/>
        <w:gridCol w:w="1965"/>
        <w:gridCol w:w="5160"/>
      </w:tblGrid>
      <w:tr w:rsidR="00CD3F2B">
        <w:trPr>
          <w:jc w:val="center"/>
        </w:trPr>
        <w:tc>
          <w:tcPr>
            <w:tcW w:w="8085" w:type="dxa"/>
            <w:gridSpan w:val="3"/>
            <w:tcBorders>
              <w:bottom w:val="single" w:sz="4" w:space="0" w:color="000000"/>
            </w:tcBorders>
            <w:shd w:val="clear" w:color="auto" w:fill="auto"/>
          </w:tcPr>
          <w:p w:rsidR="00CD3F2B" w:rsidRDefault="00ED7639">
            <w:pPr>
              <w:spacing w:line="240" w:lineRule="auto"/>
              <w:jc w:val="both"/>
              <w:rPr>
                <w:b/>
              </w:rPr>
            </w:pPr>
            <w:r>
              <w:rPr>
                <w:b/>
              </w:rPr>
              <w:t>5.2. PROYECTO LONG WAVELENGTH ARRAY</w:t>
            </w:r>
          </w:p>
        </w:tc>
      </w:tr>
      <w:tr w:rsidR="00CD3F2B">
        <w:trPr>
          <w:jc w:val="center"/>
        </w:trPr>
        <w:tc>
          <w:tcPr>
            <w:tcW w:w="8085" w:type="dxa"/>
            <w:gridSpan w:val="3"/>
            <w:tcBorders>
              <w:bottom w:val="single" w:sz="4" w:space="0" w:color="000000"/>
            </w:tcBorders>
            <w:shd w:val="clear" w:color="auto" w:fill="auto"/>
          </w:tcPr>
          <w:p w:rsidR="00CD3F2B" w:rsidRDefault="00ED7639">
            <w:pPr>
              <w:spacing w:line="240" w:lineRule="auto"/>
              <w:rPr>
                <w:b/>
              </w:rPr>
            </w:pPr>
            <w:r>
              <w:rPr>
                <w:b/>
              </w:rPr>
              <w:t>5.2.1. Construcción de acceso</w:t>
            </w:r>
          </w:p>
        </w:tc>
      </w:tr>
      <w:tr w:rsidR="00CD3F2B">
        <w:trPr>
          <w:jc w:val="center"/>
        </w:trPr>
        <w:tc>
          <w:tcPr>
            <w:tcW w:w="960" w:type="dxa"/>
            <w:shd w:val="clear" w:color="auto" w:fill="auto"/>
          </w:tcPr>
          <w:p w:rsidR="00CD3F2B" w:rsidRDefault="00ED7639">
            <w:pPr>
              <w:spacing w:line="240" w:lineRule="auto"/>
              <w:jc w:val="center"/>
            </w:pPr>
            <w:r>
              <w:t>5.2.1.1</w:t>
            </w:r>
          </w:p>
        </w:tc>
        <w:tc>
          <w:tcPr>
            <w:tcW w:w="1965" w:type="dxa"/>
            <w:shd w:val="clear" w:color="auto" w:fill="auto"/>
          </w:tcPr>
          <w:p w:rsidR="00CD3F2B" w:rsidRDefault="00ED7639">
            <w:pPr>
              <w:spacing w:line="240" w:lineRule="auto"/>
              <w:ind w:right="60"/>
              <w:jc w:val="both"/>
            </w:pPr>
            <w:r>
              <w:t>Construcción del acceso</w:t>
            </w:r>
          </w:p>
        </w:tc>
        <w:tc>
          <w:tcPr>
            <w:tcW w:w="5160" w:type="dxa"/>
          </w:tcPr>
          <w:p w:rsidR="00CD3F2B" w:rsidRDefault="00ED7639">
            <w:pPr>
              <w:numPr>
                <w:ilvl w:val="0"/>
                <w:numId w:val="3"/>
              </w:numPr>
              <w:spacing w:line="240" w:lineRule="auto"/>
              <w:ind w:left="141" w:hanging="150"/>
            </w:pPr>
            <w:r>
              <w:t>Características:</w:t>
            </w:r>
          </w:p>
          <w:p w:rsidR="00CD3F2B" w:rsidRDefault="00ED7639">
            <w:pPr>
              <w:numPr>
                <w:ilvl w:val="1"/>
                <w:numId w:val="3"/>
              </w:numPr>
              <w:spacing w:line="240" w:lineRule="auto"/>
              <w:ind w:left="566" w:hanging="283"/>
            </w:pPr>
            <w:r>
              <w:t>Superficie: afirmado</w:t>
            </w:r>
          </w:p>
          <w:p w:rsidR="00CD3F2B" w:rsidRDefault="00ED7639">
            <w:pPr>
              <w:numPr>
                <w:ilvl w:val="1"/>
                <w:numId w:val="3"/>
              </w:numPr>
              <w:spacing w:line="240" w:lineRule="auto"/>
              <w:ind w:left="566" w:hanging="283"/>
            </w:pPr>
            <w:r>
              <w:t>Ancho mínimo: suficiente para el traslado de un contenedor de 20 pies</w:t>
            </w:r>
          </w:p>
          <w:p w:rsidR="00CD3F2B" w:rsidRDefault="00ED7639">
            <w:pPr>
              <w:numPr>
                <w:ilvl w:val="0"/>
                <w:numId w:val="3"/>
              </w:numPr>
              <w:spacing w:line="240" w:lineRule="auto"/>
              <w:ind w:left="141" w:hanging="150"/>
            </w:pPr>
            <w:r>
              <w:lastRenderedPageBreak/>
              <w:t xml:space="preserve">Finalidad: Traslado del contenedor del proyecto Long </w:t>
            </w:r>
            <w:proofErr w:type="spellStart"/>
            <w:r>
              <w:t>Wavelength</w:t>
            </w:r>
            <w:proofErr w:type="spellEnd"/>
            <w:r>
              <w:t xml:space="preserve"> </w:t>
            </w:r>
            <w:proofErr w:type="spellStart"/>
            <w:r>
              <w:t>Array</w:t>
            </w:r>
            <w:proofErr w:type="spellEnd"/>
            <w:r>
              <w:t xml:space="preserve"> a su ubicación final.</w:t>
            </w:r>
          </w:p>
          <w:p w:rsidR="00CD3F2B" w:rsidRDefault="00ED7639">
            <w:pPr>
              <w:numPr>
                <w:ilvl w:val="0"/>
                <w:numId w:val="3"/>
              </w:numPr>
              <w:spacing w:line="240" w:lineRule="auto"/>
              <w:ind w:left="141" w:hanging="150"/>
            </w:pPr>
            <w:r>
              <w:t xml:space="preserve">Construcción a 6.00 </w:t>
            </w:r>
            <w:proofErr w:type="spellStart"/>
            <w:r>
              <w:t>mts</w:t>
            </w:r>
            <w:proofErr w:type="spellEnd"/>
            <w:r>
              <w:t xml:space="preserve"> del muro principal perimetral de la PUCP - Campus Sur.</w:t>
            </w:r>
          </w:p>
          <w:p w:rsidR="00CD3F2B" w:rsidRDefault="00CD3F2B">
            <w:pPr>
              <w:spacing w:line="240" w:lineRule="auto"/>
            </w:pPr>
          </w:p>
          <w:p w:rsidR="00CD3F2B" w:rsidRDefault="00ED7639">
            <w:pPr>
              <w:spacing w:line="240" w:lineRule="auto"/>
              <w:rPr>
                <w:b/>
              </w:rPr>
            </w:pPr>
            <w:r>
              <w:rPr>
                <w:b/>
              </w:rPr>
              <w:t>OBS:</w:t>
            </w:r>
          </w:p>
          <w:p w:rsidR="00CD3F2B" w:rsidRDefault="00ED7639">
            <w:pPr>
              <w:numPr>
                <w:ilvl w:val="0"/>
                <w:numId w:val="3"/>
              </w:numPr>
              <w:spacing w:line="240" w:lineRule="auto"/>
              <w:ind w:left="141" w:hanging="150"/>
            </w:pPr>
            <w:r>
              <w:t>Se adjunta plano N°1 sobre las consideraciones y observaciones.</w:t>
            </w:r>
          </w:p>
        </w:tc>
      </w:tr>
      <w:tr w:rsidR="00CD3F2B">
        <w:trPr>
          <w:jc w:val="center"/>
        </w:trPr>
        <w:tc>
          <w:tcPr>
            <w:tcW w:w="8085" w:type="dxa"/>
            <w:gridSpan w:val="3"/>
            <w:tcBorders>
              <w:bottom w:val="single" w:sz="4" w:space="0" w:color="000000"/>
            </w:tcBorders>
            <w:shd w:val="clear" w:color="auto" w:fill="auto"/>
          </w:tcPr>
          <w:p w:rsidR="00CD3F2B" w:rsidRDefault="00ED7639">
            <w:pPr>
              <w:spacing w:line="240" w:lineRule="auto"/>
              <w:rPr>
                <w:b/>
              </w:rPr>
            </w:pPr>
            <w:r>
              <w:rPr>
                <w:b/>
              </w:rPr>
              <w:lastRenderedPageBreak/>
              <w:t>5.2.2. Construcción de zanja e instalación de buzones y tuberías</w:t>
            </w:r>
          </w:p>
        </w:tc>
      </w:tr>
      <w:tr w:rsidR="00CD3F2B">
        <w:trPr>
          <w:jc w:val="center"/>
        </w:trPr>
        <w:tc>
          <w:tcPr>
            <w:tcW w:w="960" w:type="dxa"/>
            <w:shd w:val="clear" w:color="auto" w:fill="auto"/>
          </w:tcPr>
          <w:p w:rsidR="00CD3F2B" w:rsidRDefault="00ED7639">
            <w:pPr>
              <w:spacing w:line="240" w:lineRule="auto"/>
              <w:jc w:val="center"/>
            </w:pPr>
            <w:r>
              <w:t>5.2.2.1</w:t>
            </w:r>
          </w:p>
        </w:tc>
        <w:tc>
          <w:tcPr>
            <w:tcW w:w="1965" w:type="dxa"/>
            <w:shd w:val="clear" w:color="auto" w:fill="auto"/>
          </w:tcPr>
          <w:p w:rsidR="00CD3F2B" w:rsidRDefault="00ED7639">
            <w:pPr>
              <w:spacing w:line="240" w:lineRule="auto"/>
              <w:ind w:right="60"/>
              <w:jc w:val="both"/>
            </w:pPr>
            <w:r>
              <w:t>Construcción de zanja</w:t>
            </w:r>
          </w:p>
        </w:tc>
        <w:tc>
          <w:tcPr>
            <w:tcW w:w="5160" w:type="dxa"/>
          </w:tcPr>
          <w:p w:rsidR="00CD3F2B" w:rsidRDefault="00ED7639">
            <w:pPr>
              <w:numPr>
                <w:ilvl w:val="0"/>
                <w:numId w:val="1"/>
              </w:numPr>
              <w:spacing w:line="240" w:lineRule="auto"/>
              <w:ind w:left="141" w:hanging="150"/>
            </w:pPr>
            <w:r>
              <w:t>La zanja debe cumplir normas establecidas del código nacional de electricidad.</w:t>
            </w:r>
          </w:p>
          <w:p w:rsidR="00CD3F2B" w:rsidRDefault="00ED7639">
            <w:pPr>
              <w:numPr>
                <w:ilvl w:val="0"/>
                <w:numId w:val="1"/>
              </w:numPr>
              <w:spacing w:line="240" w:lineRule="auto"/>
              <w:ind w:left="141" w:hanging="150"/>
            </w:pPr>
            <w:r>
              <w:t xml:space="preserve">Deberá interconectar a la subestación de la PUCP - Campus Sur y el contenedor del proyecto Long </w:t>
            </w:r>
            <w:proofErr w:type="spellStart"/>
            <w:r>
              <w:t>Wavelength</w:t>
            </w:r>
            <w:proofErr w:type="spellEnd"/>
            <w:r>
              <w:t xml:space="preserve"> </w:t>
            </w:r>
            <w:proofErr w:type="spellStart"/>
            <w:r>
              <w:t>Array</w:t>
            </w:r>
            <w:proofErr w:type="spellEnd"/>
          </w:p>
          <w:p w:rsidR="00CD3F2B" w:rsidRDefault="00ED7639">
            <w:pPr>
              <w:numPr>
                <w:ilvl w:val="0"/>
                <w:numId w:val="1"/>
              </w:numPr>
              <w:spacing w:line="240" w:lineRule="auto"/>
              <w:ind w:left="141" w:hanging="150"/>
            </w:pPr>
            <w:r>
              <w:t xml:space="preserve">Construcción a 1.00 </w:t>
            </w:r>
            <w:proofErr w:type="spellStart"/>
            <w:r>
              <w:t>mt</w:t>
            </w:r>
            <w:proofErr w:type="spellEnd"/>
            <w:r>
              <w:t xml:space="preserve"> de la construcción del acceso (detallado en el inciso 5.2.1.1).</w:t>
            </w:r>
          </w:p>
          <w:p w:rsidR="00CD3F2B" w:rsidRDefault="00CD3F2B">
            <w:pPr>
              <w:spacing w:line="240" w:lineRule="auto"/>
            </w:pPr>
          </w:p>
          <w:p w:rsidR="00CD3F2B" w:rsidRDefault="00ED7639">
            <w:pPr>
              <w:spacing w:line="240" w:lineRule="auto"/>
              <w:rPr>
                <w:b/>
              </w:rPr>
            </w:pPr>
            <w:r>
              <w:rPr>
                <w:b/>
              </w:rPr>
              <w:t>OBS:</w:t>
            </w:r>
          </w:p>
          <w:p w:rsidR="00CD3F2B" w:rsidRDefault="00ED7639">
            <w:pPr>
              <w:numPr>
                <w:ilvl w:val="0"/>
                <w:numId w:val="8"/>
              </w:numPr>
              <w:spacing w:line="240" w:lineRule="auto"/>
              <w:ind w:left="141" w:hanging="150"/>
            </w:pPr>
            <w:r>
              <w:t>Se adjunta plano referencial N°2 sobre las conside</w:t>
            </w:r>
            <w:r>
              <w:t>raciones y observaciones.</w:t>
            </w:r>
          </w:p>
          <w:p w:rsidR="00CD3F2B" w:rsidRDefault="00CD3F2B">
            <w:pPr>
              <w:spacing w:line="240" w:lineRule="auto"/>
              <w:ind w:left="720"/>
            </w:pPr>
          </w:p>
        </w:tc>
      </w:tr>
      <w:tr w:rsidR="00CD3F2B">
        <w:trPr>
          <w:jc w:val="center"/>
        </w:trPr>
        <w:tc>
          <w:tcPr>
            <w:tcW w:w="960" w:type="dxa"/>
            <w:shd w:val="clear" w:color="auto" w:fill="auto"/>
          </w:tcPr>
          <w:p w:rsidR="00CD3F2B" w:rsidRDefault="00ED7639">
            <w:pPr>
              <w:spacing w:line="240" w:lineRule="auto"/>
              <w:jc w:val="center"/>
            </w:pPr>
            <w:r>
              <w:t>5.2.2.2</w:t>
            </w:r>
          </w:p>
        </w:tc>
        <w:tc>
          <w:tcPr>
            <w:tcW w:w="1965" w:type="dxa"/>
            <w:shd w:val="clear" w:color="auto" w:fill="auto"/>
          </w:tcPr>
          <w:p w:rsidR="00CD3F2B" w:rsidRDefault="00ED7639">
            <w:pPr>
              <w:spacing w:line="240" w:lineRule="auto"/>
              <w:ind w:right="60"/>
              <w:jc w:val="both"/>
            </w:pPr>
            <w:r>
              <w:t>Suministro e instalaciones de buzones</w:t>
            </w:r>
          </w:p>
        </w:tc>
        <w:tc>
          <w:tcPr>
            <w:tcW w:w="5160" w:type="dxa"/>
          </w:tcPr>
          <w:p w:rsidR="00CD3F2B" w:rsidRDefault="00ED7639">
            <w:pPr>
              <w:numPr>
                <w:ilvl w:val="0"/>
                <w:numId w:val="6"/>
              </w:numPr>
              <w:spacing w:line="240" w:lineRule="auto"/>
              <w:ind w:left="141" w:hanging="153"/>
            </w:pPr>
            <w:r>
              <w:t>Suministro e instalación de buzones interconectados a lo largo de toda la zanja.</w:t>
            </w:r>
          </w:p>
          <w:p w:rsidR="00CD3F2B" w:rsidRDefault="00ED7639">
            <w:pPr>
              <w:numPr>
                <w:ilvl w:val="0"/>
                <w:numId w:val="6"/>
              </w:numPr>
              <w:spacing w:line="240" w:lineRule="auto"/>
              <w:ind w:left="141" w:hanging="153"/>
            </w:pPr>
            <w:r>
              <w:t>Los buzones deben cumplir con las normas establecidas del código nacional de electricidad.</w:t>
            </w:r>
          </w:p>
          <w:p w:rsidR="00CD3F2B" w:rsidRDefault="00CD3F2B">
            <w:pPr>
              <w:spacing w:line="240" w:lineRule="auto"/>
            </w:pPr>
          </w:p>
          <w:p w:rsidR="00CD3F2B" w:rsidRDefault="00ED7639">
            <w:pPr>
              <w:spacing w:line="240" w:lineRule="auto"/>
              <w:rPr>
                <w:b/>
              </w:rPr>
            </w:pPr>
            <w:r>
              <w:rPr>
                <w:b/>
              </w:rPr>
              <w:t>OBS:</w:t>
            </w:r>
          </w:p>
          <w:p w:rsidR="00CD3F2B" w:rsidRDefault="00ED7639">
            <w:pPr>
              <w:numPr>
                <w:ilvl w:val="0"/>
                <w:numId w:val="6"/>
              </w:numPr>
              <w:spacing w:line="240" w:lineRule="auto"/>
              <w:ind w:left="141"/>
            </w:pPr>
            <w:r>
              <w:t>Se adjunta plano N°2 sobre las consideraciones y observaciones.</w:t>
            </w:r>
          </w:p>
        </w:tc>
      </w:tr>
      <w:tr w:rsidR="00CD3F2B">
        <w:trPr>
          <w:trHeight w:val="400"/>
          <w:jc w:val="center"/>
        </w:trPr>
        <w:tc>
          <w:tcPr>
            <w:tcW w:w="960" w:type="dxa"/>
            <w:shd w:val="clear" w:color="auto" w:fill="auto"/>
          </w:tcPr>
          <w:p w:rsidR="00CD3F2B" w:rsidRDefault="00ED7639">
            <w:pPr>
              <w:spacing w:line="240" w:lineRule="auto"/>
              <w:jc w:val="center"/>
            </w:pPr>
            <w:r>
              <w:t>5.2.2.3</w:t>
            </w:r>
          </w:p>
        </w:tc>
        <w:tc>
          <w:tcPr>
            <w:tcW w:w="1965" w:type="dxa"/>
            <w:shd w:val="clear" w:color="auto" w:fill="auto"/>
          </w:tcPr>
          <w:p w:rsidR="00CD3F2B" w:rsidRDefault="00ED7639">
            <w:pPr>
              <w:spacing w:line="240" w:lineRule="auto"/>
              <w:ind w:right="60"/>
              <w:jc w:val="both"/>
            </w:pPr>
            <w:r>
              <w:t>Suministro e instalación de 02 tuberías en paralelo</w:t>
            </w:r>
          </w:p>
        </w:tc>
        <w:tc>
          <w:tcPr>
            <w:tcW w:w="5160" w:type="dxa"/>
          </w:tcPr>
          <w:p w:rsidR="00CD3F2B" w:rsidRDefault="00ED7639">
            <w:pPr>
              <w:numPr>
                <w:ilvl w:val="0"/>
                <w:numId w:val="2"/>
              </w:numPr>
              <w:spacing w:line="240" w:lineRule="auto"/>
              <w:ind w:left="141" w:hanging="150"/>
            </w:pPr>
            <w:r>
              <w:t>Banco de tuberías PVC, categoría SAP, cumpliendo las normas establecidas del código nacional de electricidad.</w:t>
            </w:r>
          </w:p>
          <w:p w:rsidR="00CD3F2B" w:rsidRDefault="00ED7639">
            <w:pPr>
              <w:numPr>
                <w:ilvl w:val="0"/>
                <w:numId w:val="2"/>
              </w:numPr>
              <w:spacing w:line="240" w:lineRule="auto"/>
              <w:ind w:left="141" w:hanging="150"/>
            </w:pPr>
            <w:r>
              <w:t>Suministro e instalación del banco de tuberías en todo el largo de la zanja y comunicando a cada buzón.</w:t>
            </w:r>
          </w:p>
        </w:tc>
      </w:tr>
      <w:tr w:rsidR="00CD3F2B">
        <w:trPr>
          <w:trHeight w:val="400"/>
          <w:jc w:val="center"/>
        </w:trPr>
        <w:tc>
          <w:tcPr>
            <w:tcW w:w="960" w:type="dxa"/>
            <w:shd w:val="clear" w:color="auto" w:fill="auto"/>
          </w:tcPr>
          <w:p w:rsidR="00CD3F2B" w:rsidRDefault="00ED7639">
            <w:pPr>
              <w:spacing w:line="240" w:lineRule="auto"/>
              <w:jc w:val="center"/>
            </w:pPr>
            <w:r>
              <w:t>5.2.2.4</w:t>
            </w:r>
          </w:p>
        </w:tc>
        <w:tc>
          <w:tcPr>
            <w:tcW w:w="1965" w:type="dxa"/>
            <w:shd w:val="clear" w:color="auto" w:fill="auto"/>
          </w:tcPr>
          <w:p w:rsidR="00CD3F2B" w:rsidRDefault="00ED7639">
            <w:pPr>
              <w:spacing w:line="240" w:lineRule="auto"/>
              <w:ind w:right="60"/>
              <w:jc w:val="both"/>
            </w:pPr>
            <w:r>
              <w:t>Cierre y tapado de la zanja</w:t>
            </w:r>
          </w:p>
        </w:tc>
        <w:tc>
          <w:tcPr>
            <w:tcW w:w="5160" w:type="dxa"/>
          </w:tcPr>
          <w:p w:rsidR="00CD3F2B" w:rsidRDefault="00ED7639">
            <w:pPr>
              <w:numPr>
                <w:ilvl w:val="0"/>
                <w:numId w:val="3"/>
              </w:numPr>
              <w:spacing w:line="240" w:lineRule="auto"/>
              <w:ind w:left="141" w:hanging="150"/>
            </w:pPr>
            <w:r>
              <w:t xml:space="preserve">Recubrimiento de tubos y recubrimiento total </w:t>
            </w:r>
            <w:proofErr w:type="spellStart"/>
            <w:r>
              <w:t>cumplento</w:t>
            </w:r>
            <w:proofErr w:type="spellEnd"/>
            <w:r>
              <w:t xml:space="preserve"> las normas establecidas del código nacional de electricidad.</w:t>
            </w:r>
          </w:p>
        </w:tc>
      </w:tr>
      <w:tr w:rsidR="00CD3F2B">
        <w:trPr>
          <w:trHeight w:val="400"/>
          <w:jc w:val="center"/>
        </w:trPr>
        <w:tc>
          <w:tcPr>
            <w:tcW w:w="8085" w:type="dxa"/>
            <w:gridSpan w:val="3"/>
            <w:shd w:val="clear" w:color="auto" w:fill="auto"/>
          </w:tcPr>
          <w:p w:rsidR="00CD3F2B" w:rsidRDefault="00ED7639">
            <w:pPr>
              <w:spacing w:line="240" w:lineRule="auto"/>
              <w:rPr>
                <w:b/>
              </w:rPr>
            </w:pPr>
            <w:r>
              <w:rPr>
                <w:b/>
              </w:rPr>
              <w:t>5.2.3. Instalación del sistema eléctrico</w:t>
            </w:r>
          </w:p>
        </w:tc>
      </w:tr>
      <w:tr w:rsidR="00CD3F2B">
        <w:trPr>
          <w:trHeight w:val="400"/>
          <w:jc w:val="center"/>
        </w:trPr>
        <w:tc>
          <w:tcPr>
            <w:tcW w:w="960" w:type="dxa"/>
            <w:shd w:val="clear" w:color="auto" w:fill="auto"/>
          </w:tcPr>
          <w:p w:rsidR="00CD3F2B" w:rsidRDefault="00ED7639">
            <w:pPr>
              <w:spacing w:line="240" w:lineRule="auto"/>
              <w:jc w:val="center"/>
            </w:pPr>
            <w:r>
              <w:t>5.2.3.1</w:t>
            </w:r>
          </w:p>
        </w:tc>
        <w:tc>
          <w:tcPr>
            <w:tcW w:w="1965" w:type="dxa"/>
            <w:shd w:val="clear" w:color="auto" w:fill="auto"/>
          </w:tcPr>
          <w:p w:rsidR="00CD3F2B" w:rsidRDefault="00ED7639">
            <w:pPr>
              <w:spacing w:line="240" w:lineRule="auto"/>
              <w:ind w:right="60"/>
              <w:jc w:val="both"/>
            </w:pPr>
            <w:r>
              <w:t>Cableado Eléctrico</w:t>
            </w:r>
          </w:p>
        </w:tc>
        <w:tc>
          <w:tcPr>
            <w:tcW w:w="5160" w:type="dxa"/>
          </w:tcPr>
          <w:p w:rsidR="00CD3F2B" w:rsidRDefault="00ED7639">
            <w:pPr>
              <w:numPr>
                <w:ilvl w:val="0"/>
                <w:numId w:val="6"/>
              </w:numPr>
              <w:spacing w:line="240" w:lineRule="auto"/>
              <w:ind w:left="141" w:hanging="153"/>
            </w:pPr>
            <w:r>
              <w:t>Suministro e instalación del cableado a lo largo de toda la tubería (detallado en el inciso 5.2.2.2) considerando lo siguiente:</w:t>
            </w:r>
          </w:p>
          <w:p w:rsidR="00CD3F2B" w:rsidRDefault="00ED7639">
            <w:pPr>
              <w:numPr>
                <w:ilvl w:val="1"/>
                <w:numId w:val="6"/>
              </w:numPr>
              <w:spacing w:line="240" w:lineRule="auto"/>
              <w:ind w:left="283" w:hanging="136"/>
            </w:pPr>
            <w:r>
              <w:t>Potencia del Contenedor: 10kW</w:t>
            </w:r>
          </w:p>
          <w:p w:rsidR="00CD3F2B" w:rsidRDefault="00ED7639">
            <w:pPr>
              <w:numPr>
                <w:ilvl w:val="1"/>
                <w:numId w:val="6"/>
              </w:numPr>
              <w:spacing w:line="240" w:lineRule="auto"/>
              <w:ind w:left="283" w:hanging="136"/>
            </w:pPr>
            <w:r>
              <w:t xml:space="preserve">Subestación: 400/230V, 3F+N+T, 25 </w:t>
            </w:r>
            <w:proofErr w:type="spellStart"/>
            <w:r>
              <w:t>kA</w:t>
            </w:r>
            <w:proofErr w:type="spellEnd"/>
            <w:r>
              <w:t>, 60 Hz</w:t>
            </w:r>
          </w:p>
          <w:p w:rsidR="00CD3F2B" w:rsidRDefault="00ED7639">
            <w:pPr>
              <w:numPr>
                <w:ilvl w:val="0"/>
                <w:numId w:val="6"/>
              </w:numPr>
              <w:spacing w:line="240" w:lineRule="auto"/>
              <w:ind w:left="141"/>
            </w:pPr>
            <w:r>
              <w:t xml:space="preserve">Deberá interconectar a la subestación de la PUCP - Campus Sur y el contenedor del proyecto Long </w:t>
            </w:r>
            <w:proofErr w:type="spellStart"/>
            <w:r>
              <w:t>Wavelength</w:t>
            </w:r>
            <w:proofErr w:type="spellEnd"/>
            <w:r>
              <w:t xml:space="preserve"> </w:t>
            </w:r>
            <w:proofErr w:type="spellStart"/>
            <w:r>
              <w:t>Array</w:t>
            </w:r>
            <w:proofErr w:type="spellEnd"/>
          </w:p>
        </w:tc>
      </w:tr>
      <w:tr w:rsidR="00CD3F2B">
        <w:trPr>
          <w:trHeight w:val="400"/>
          <w:jc w:val="center"/>
        </w:trPr>
        <w:tc>
          <w:tcPr>
            <w:tcW w:w="960" w:type="dxa"/>
            <w:shd w:val="clear" w:color="auto" w:fill="auto"/>
          </w:tcPr>
          <w:p w:rsidR="00CD3F2B" w:rsidRDefault="00ED7639">
            <w:pPr>
              <w:spacing w:line="240" w:lineRule="auto"/>
              <w:jc w:val="center"/>
            </w:pPr>
            <w:r>
              <w:t>5.2.3.2</w:t>
            </w:r>
          </w:p>
        </w:tc>
        <w:tc>
          <w:tcPr>
            <w:tcW w:w="1965" w:type="dxa"/>
            <w:shd w:val="clear" w:color="auto" w:fill="auto"/>
          </w:tcPr>
          <w:p w:rsidR="00CD3F2B" w:rsidRDefault="00ED7639">
            <w:pPr>
              <w:spacing w:line="240" w:lineRule="auto"/>
              <w:ind w:right="60"/>
              <w:jc w:val="both"/>
            </w:pPr>
            <w:r>
              <w:t>Construcción de un pozo a tierra para el contenedor del proyecto LWA</w:t>
            </w:r>
          </w:p>
        </w:tc>
        <w:tc>
          <w:tcPr>
            <w:tcW w:w="5160" w:type="dxa"/>
          </w:tcPr>
          <w:p w:rsidR="00CD3F2B" w:rsidRDefault="00ED7639">
            <w:pPr>
              <w:numPr>
                <w:ilvl w:val="0"/>
                <w:numId w:val="2"/>
              </w:numPr>
              <w:spacing w:line="240" w:lineRule="auto"/>
              <w:ind w:left="141" w:hanging="150"/>
            </w:pPr>
            <w:r>
              <w:t xml:space="preserve">Construcción de un pozo a tierra para el contenedor del proyecto Long </w:t>
            </w:r>
            <w:proofErr w:type="spellStart"/>
            <w:r>
              <w:t>Wavelength</w:t>
            </w:r>
            <w:proofErr w:type="spellEnd"/>
            <w:r>
              <w:t xml:space="preserve"> </w:t>
            </w:r>
            <w:proofErr w:type="spellStart"/>
            <w:r>
              <w:t>Array</w:t>
            </w:r>
            <w:proofErr w:type="spellEnd"/>
            <w:r>
              <w:t xml:space="preserve"> cumpliendo la norma estándar del código nacional de electricidad.</w:t>
            </w:r>
          </w:p>
          <w:p w:rsidR="00CD3F2B" w:rsidRDefault="00ED7639">
            <w:pPr>
              <w:numPr>
                <w:ilvl w:val="0"/>
                <w:numId w:val="2"/>
              </w:numPr>
              <w:spacing w:line="240" w:lineRule="auto"/>
              <w:ind w:left="141" w:hanging="150"/>
            </w:pPr>
            <w:r>
              <w:t>El pozo a tierra deberá estar a 01 metro del lado frontal al contenedor (como máximo) del proyecto Long</w:t>
            </w:r>
            <w:r>
              <w:t xml:space="preserve"> </w:t>
            </w:r>
            <w:proofErr w:type="spellStart"/>
            <w:r>
              <w:t>Wavelength</w:t>
            </w:r>
            <w:proofErr w:type="spellEnd"/>
            <w:r>
              <w:t xml:space="preserve"> </w:t>
            </w:r>
            <w:proofErr w:type="spellStart"/>
            <w:r>
              <w:t>Array</w:t>
            </w:r>
            <w:proofErr w:type="spellEnd"/>
            <w:r>
              <w:t>.</w:t>
            </w:r>
          </w:p>
          <w:p w:rsidR="00CD3F2B" w:rsidRDefault="00ED7639">
            <w:pPr>
              <w:numPr>
                <w:ilvl w:val="0"/>
                <w:numId w:val="2"/>
              </w:numPr>
              <w:spacing w:line="240" w:lineRule="auto"/>
              <w:ind w:left="141" w:hanging="150"/>
            </w:pPr>
            <w:r>
              <w:lastRenderedPageBreak/>
              <w:t>Suministro e instalación de 02 cordones de cobre:</w:t>
            </w:r>
          </w:p>
          <w:p w:rsidR="00CD3F2B" w:rsidRDefault="00ED7639">
            <w:pPr>
              <w:numPr>
                <w:ilvl w:val="1"/>
                <w:numId w:val="2"/>
              </w:numPr>
              <w:spacing w:line="240" w:lineRule="auto"/>
              <w:ind w:left="425" w:hanging="283"/>
            </w:pPr>
            <w:r>
              <w:t>01 cordón del tablero eléctrico al pozo a tierra.</w:t>
            </w:r>
          </w:p>
          <w:p w:rsidR="00CD3F2B" w:rsidRDefault="00ED7639">
            <w:pPr>
              <w:numPr>
                <w:ilvl w:val="1"/>
                <w:numId w:val="2"/>
              </w:numPr>
              <w:spacing w:line="240" w:lineRule="auto"/>
              <w:ind w:left="425" w:hanging="283"/>
            </w:pPr>
            <w:r>
              <w:t>01 cordón del chasis del contenedor al pozo a tierra.</w:t>
            </w:r>
          </w:p>
        </w:tc>
      </w:tr>
      <w:tr w:rsidR="00CD3F2B">
        <w:trPr>
          <w:trHeight w:val="400"/>
          <w:jc w:val="center"/>
        </w:trPr>
        <w:tc>
          <w:tcPr>
            <w:tcW w:w="8085" w:type="dxa"/>
            <w:gridSpan w:val="3"/>
            <w:shd w:val="clear" w:color="auto" w:fill="auto"/>
          </w:tcPr>
          <w:p w:rsidR="00CD3F2B" w:rsidRDefault="00ED7639">
            <w:pPr>
              <w:spacing w:line="240" w:lineRule="auto"/>
            </w:pPr>
            <w:r>
              <w:rPr>
                <w:b/>
              </w:rPr>
              <w:lastRenderedPageBreak/>
              <w:t>5.2.4. Movimiento de tierra</w:t>
            </w:r>
          </w:p>
        </w:tc>
      </w:tr>
      <w:tr w:rsidR="00CD3F2B">
        <w:trPr>
          <w:trHeight w:val="400"/>
          <w:jc w:val="center"/>
        </w:trPr>
        <w:tc>
          <w:tcPr>
            <w:tcW w:w="960" w:type="dxa"/>
            <w:shd w:val="clear" w:color="auto" w:fill="auto"/>
          </w:tcPr>
          <w:p w:rsidR="00CD3F2B" w:rsidRDefault="00ED7639">
            <w:pPr>
              <w:spacing w:line="240" w:lineRule="auto"/>
              <w:jc w:val="center"/>
            </w:pPr>
            <w:r>
              <w:t>5.2.4.1</w:t>
            </w:r>
          </w:p>
        </w:tc>
        <w:tc>
          <w:tcPr>
            <w:tcW w:w="1965" w:type="dxa"/>
            <w:shd w:val="clear" w:color="auto" w:fill="auto"/>
          </w:tcPr>
          <w:p w:rsidR="00CD3F2B" w:rsidRDefault="00ED7639">
            <w:pPr>
              <w:spacing w:line="240" w:lineRule="auto"/>
              <w:ind w:right="60"/>
              <w:jc w:val="both"/>
            </w:pPr>
            <w:r>
              <w:t xml:space="preserve">Movimiento de tierra </w:t>
            </w:r>
          </w:p>
        </w:tc>
        <w:tc>
          <w:tcPr>
            <w:tcW w:w="5160" w:type="dxa"/>
          </w:tcPr>
          <w:p w:rsidR="00CD3F2B" w:rsidRDefault="00ED7639">
            <w:pPr>
              <w:numPr>
                <w:ilvl w:val="0"/>
                <w:numId w:val="3"/>
              </w:numPr>
              <w:spacing w:line="240" w:lineRule="auto"/>
              <w:ind w:left="141" w:hanging="150"/>
            </w:pPr>
            <w:r>
              <w:t xml:space="preserve">Movimiento de tierra en </w:t>
            </w:r>
            <w:proofErr w:type="gramStart"/>
            <w:r>
              <w:t>una</w:t>
            </w:r>
            <w:proofErr w:type="gramEnd"/>
            <w:r>
              <w:t xml:space="preserve"> área de 100x100mts teniendo en cuenta un movimiento no tan uniforme en toda el área de trabajo y siguiendo la pendiente del terreno.</w:t>
            </w:r>
          </w:p>
          <w:p w:rsidR="00CD3F2B" w:rsidRDefault="00CD3F2B">
            <w:pPr>
              <w:spacing w:line="240" w:lineRule="auto"/>
              <w:ind w:left="1440"/>
            </w:pPr>
          </w:p>
          <w:p w:rsidR="00CD3F2B" w:rsidRDefault="00ED7639">
            <w:pPr>
              <w:spacing w:line="240" w:lineRule="auto"/>
              <w:rPr>
                <w:b/>
              </w:rPr>
            </w:pPr>
            <w:r>
              <w:rPr>
                <w:b/>
              </w:rPr>
              <w:t>OBS:</w:t>
            </w:r>
          </w:p>
          <w:p w:rsidR="00CD3F2B" w:rsidRDefault="00ED7639">
            <w:pPr>
              <w:numPr>
                <w:ilvl w:val="0"/>
                <w:numId w:val="6"/>
              </w:numPr>
              <w:spacing w:line="240" w:lineRule="auto"/>
              <w:ind w:left="141"/>
            </w:pPr>
            <w:r>
              <w:t>Se adjunta plano N°1 sobre las consideraciones y observaciones.</w:t>
            </w:r>
          </w:p>
        </w:tc>
      </w:tr>
      <w:tr w:rsidR="00CD3F2B">
        <w:trPr>
          <w:trHeight w:val="400"/>
          <w:jc w:val="center"/>
        </w:trPr>
        <w:tc>
          <w:tcPr>
            <w:tcW w:w="8085" w:type="dxa"/>
            <w:gridSpan w:val="3"/>
            <w:shd w:val="clear" w:color="auto" w:fill="auto"/>
          </w:tcPr>
          <w:p w:rsidR="00CD3F2B" w:rsidRDefault="00ED7639">
            <w:pPr>
              <w:spacing w:line="240" w:lineRule="auto"/>
              <w:rPr>
                <w:highlight w:val="yellow"/>
              </w:rPr>
            </w:pPr>
            <w:r>
              <w:rPr>
                <w:b/>
              </w:rPr>
              <w:t>5.2.5. Construcción de b</w:t>
            </w:r>
            <w:r>
              <w:rPr>
                <w:b/>
              </w:rPr>
              <w:t>loques de cimentación de apoyo para el contenedor</w:t>
            </w:r>
          </w:p>
        </w:tc>
      </w:tr>
      <w:tr w:rsidR="00CD3F2B">
        <w:trPr>
          <w:trHeight w:val="400"/>
          <w:jc w:val="center"/>
        </w:trPr>
        <w:tc>
          <w:tcPr>
            <w:tcW w:w="960" w:type="dxa"/>
            <w:shd w:val="clear" w:color="auto" w:fill="auto"/>
          </w:tcPr>
          <w:p w:rsidR="00CD3F2B" w:rsidRDefault="00ED7639">
            <w:pPr>
              <w:spacing w:line="240" w:lineRule="auto"/>
              <w:jc w:val="center"/>
            </w:pPr>
            <w:r>
              <w:t>5.2.5.1</w:t>
            </w:r>
          </w:p>
        </w:tc>
        <w:tc>
          <w:tcPr>
            <w:tcW w:w="1965" w:type="dxa"/>
            <w:shd w:val="clear" w:color="auto" w:fill="auto"/>
          </w:tcPr>
          <w:p w:rsidR="00CD3F2B" w:rsidRDefault="00ED7639">
            <w:pPr>
              <w:spacing w:line="240" w:lineRule="auto"/>
              <w:ind w:right="60"/>
              <w:jc w:val="both"/>
            </w:pPr>
            <w:r>
              <w:t>Construcción de bloques de cimentación de apoyo para el contenedor</w:t>
            </w:r>
          </w:p>
        </w:tc>
        <w:tc>
          <w:tcPr>
            <w:tcW w:w="5160" w:type="dxa"/>
          </w:tcPr>
          <w:p w:rsidR="00CD3F2B" w:rsidRDefault="00ED7639">
            <w:pPr>
              <w:numPr>
                <w:ilvl w:val="0"/>
                <w:numId w:val="11"/>
              </w:numPr>
              <w:spacing w:line="240" w:lineRule="auto"/>
              <w:ind w:left="141" w:hanging="150"/>
            </w:pPr>
            <w:r>
              <w:t>Construcción de bloques de cimentación de apoyo para el contenedor cumpliendo las Normas Técnicas Peruanas (NTP) mínimas requeridas para un contenedor de 20 pies.</w:t>
            </w:r>
          </w:p>
          <w:p w:rsidR="00CD3F2B" w:rsidRDefault="00ED7639">
            <w:pPr>
              <w:numPr>
                <w:ilvl w:val="0"/>
                <w:numId w:val="11"/>
              </w:numPr>
              <w:spacing w:line="240" w:lineRule="auto"/>
              <w:ind w:left="141" w:hanging="150"/>
            </w:pPr>
            <w:r>
              <w:t xml:space="preserve">Finalidad: Apoyo para el contenedor del proyecto Long </w:t>
            </w:r>
            <w:proofErr w:type="spellStart"/>
            <w:r>
              <w:t>Wavelength</w:t>
            </w:r>
            <w:proofErr w:type="spellEnd"/>
            <w:r>
              <w:t xml:space="preserve"> </w:t>
            </w:r>
            <w:proofErr w:type="spellStart"/>
            <w:r>
              <w:t>Array</w:t>
            </w:r>
            <w:proofErr w:type="spellEnd"/>
            <w:r>
              <w:t>.</w:t>
            </w:r>
          </w:p>
          <w:p w:rsidR="00CD3F2B" w:rsidRDefault="00CD3F2B">
            <w:pPr>
              <w:spacing w:line="240" w:lineRule="auto"/>
            </w:pPr>
          </w:p>
          <w:p w:rsidR="00CD3F2B" w:rsidRDefault="00ED7639">
            <w:pPr>
              <w:spacing w:line="240" w:lineRule="auto"/>
              <w:rPr>
                <w:b/>
              </w:rPr>
            </w:pPr>
            <w:r>
              <w:rPr>
                <w:b/>
              </w:rPr>
              <w:t>OBS:</w:t>
            </w:r>
          </w:p>
          <w:p w:rsidR="00CD3F2B" w:rsidRDefault="00ED7639">
            <w:pPr>
              <w:numPr>
                <w:ilvl w:val="0"/>
                <w:numId w:val="6"/>
              </w:numPr>
              <w:spacing w:line="240" w:lineRule="auto"/>
              <w:ind w:left="141"/>
            </w:pPr>
            <w:r>
              <w:t>Se adjunta plan</w:t>
            </w:r>
            <w:r>
              <w:t>o N°1 sobre las consideraciones y observaciones.</w:t>
            </w:r>
          </w:p>
        </w:tc>
      </w:tr>
    </w:tbl>
    <w:p w:rsidR="00CD3F2B" w:rsidRDefault="00CD3F2B">
      <w:pPr>
        <w:spacing w:line="240" w:lineRule="auto"/>
        <w:ind w:left="786" w:hanging="708"/>
      </w:pPr>
    </w:p>
    <w:p w:rsidR="00CD3F2B" w:rsidRDefault="00ED7639">
      <w:pPr>
        <w:spacing w:line="240" w:lineRule="auto"/>
        <w:ind w:left="566"/>
        <w:jc w:val="both"/>
        <w:rPr>
          <w:b/>
        </w:rPr>
      </w:pPr>
      <w:r>
        <w:t>Se adjunta lo siguiente</w:t>
      </w:r>
      <w:r>
        <w:rPr>
          <w:b/>
        </w:rPr>
        <w:t>:</w:t>
      </w:r>
    </w:p>
    <w:p w:rsidR="00CD3F2B" w:rsidRDefault="00CD3F2B">
      <w:pPr>
        <w:spacing w:line="240" w:lineRule="auto"/>
        <w:ind w:left="566"/>
        <w:jc w:val="both"/>
        <w:rPr>
          <w:b/>
        </w:rPr>
      </w:pPr>
    </w:p>
    <w:p w:rsidR="00CD3F2B" w:rsidRDefault="00ED7639">
      <w:pPr>
        <w:spacing w:line="240" w:lineRule="auto"/>
        <w:ind w:left="566"/>
        <w:jc w:val="both"/>
        <w:rPr>
          <w:b/>
        </w:rPr>
      </w:pPr>
      <w:r>
        <w:rPr>
          <w:b/>
        </w:rPr>
        <w:t>Imágenes referenciales</w:t>
      </w:r>
    </w:p>
    <w:p w:rsidR="00CD3F2B" w:rsidRDefault="00ED7639">
      <w:pPr>
        <w:numPr>
          <w:ilvl w:val="0"/>
          <w:numId w:val="9"/>
        </w:numPr>
        <w:spacing w:line="240" w:lineRule="auto"/>
        <w:ind w:left="992"/>
        <w:jc w:val="both"/>
      </w:pPr>
      <w:r>
        <w:t>Imagen geoespacial del Campus Sur (PUCP), ubicado en Santa María del Mar</w:t>
      </w:r>
    </w:p>
    <w:p w:rsidR="00CD3F2B" w:rsidRDefault="00ED7639">
      <w:pPr>
        <w:spacing w:line="240" w:lineRule="auto"/>
        <w:jc w:val="both"/>
        <w:rPr>
          <w:b/>
        </w:rPr>
      </w:pPr>
      <w:r>
        <w:rPr>
          <w:b/>
          <w:noProof/>
        </w:rPr>
        <w:drawing>
          <wp:inline distT="114300" distB="114300" distL="114300" distR="114300">
            <wp:extent cx="5731200" cy="2755900"/>
            <wp:effectExtent l="0" t="0" r="0" b="0"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55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CD3F2B" w:rsidRDefault="00CD3F2B">
      <w:pPr>
        <w:spacing w:line="240" w:lineRule="auto"/>
        <w:jc w:val="both"/>
        <w:rPr>
          <w:b/>
        </w:rPr>
      </w:pPr>
    </w:p>
    <w:p w:rsidR="00CD3F2B" w:rsidRDefault="00ED7639">
      <w:pPr>
        <w:spacing w:line="240" w:lineRule="auto"/>
        <w:ind w:left="708"/>
        <w:jc w:val="both"/>
      </w:pPr>
      <w:r>
        <w:t>b) Bosquejo del arreglo de las 512 antenas</w:t>
      </w:r>
    </w:p>
    <w:p w:rsidR="00CD3F2B" w:rsidRDefault="00ED7639">
      <w:pPr>
        <w:spacing w:line="240" w:lineRule="auto"/>
        <w:jc w:val="both"/>
        <w:rPr>
          <w:b/>
        </w:rPr>
      </w:pPr>
      <w:r>
        <w:rPr>
          <w:b/>
          <w:noProof/>
        </w:rPr>
        <w:lastRenderedPageBreak/>
        <w:drawing>
          <wp:inline distT="19050" distB="19050" distL="19050" distR="19050">
            <wp:extent cx="5731200" cy="2197100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t="31271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97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CD3F2B" w:rsidRDefault="00CD3F2B">
      <w:pPr>
        <w:spacing w:line="240" w:lineRule="auto"/>
        <w:jc w:val="both"/>
        <w:rPr>
          <w:b/>
        </w:rPr>
      </w:pPr>
    </w:p>
    <w:p w:rsidR="00CD3F2B" w:rsidRDefault="00ED7639">
      <w:pPr>
        <w:spacing w:line="240" w:lineRule="auto"/>
        <w:ind w:left="720"/>
        <w:jc w:val="both"/>
        <w:rPr>
          <w:b/>
        </w:rPr>
      </w:pPr>
      <w:r>
        <w:rPr>
          <w:b/>
        </w:rPr>
        <w:t>Planos referenciales:</w:t>
      </w:r>
    </w:p>
    <w:p w:rsidR="00CD3F2B" w:rsidRDefault="00CD3F2B">
      <w:pPr>
        <w:spacing w:line="240" w:lineRule="auto"/>
        <w:jc w:val="both"/>
        <w:rPr>
          <w:b/>
        </w:rPr>
      </w:pPr>
    </w:p>
    <w:p w:rsidR="00CD3F2B" w:rsidRDefault="00ED7639">
      <w:pPr>
        <w:numPr>
          <w:ilvl w:val="0"/>
          <w:numId w:val="12"/>
        </w:numPr>
        <w:spacing w:line="240" w:lineRule="auto"/>
        <w:jc w:val="both"/>
      </w:pPr>
      <w:r>
        <w:t>PLANO_01: Acceso, movimiento de tierra y cimiento del contenedor</w:t>
      </w:r>
    </w:p>
    <w:p w:rsidR="00CD3F2B" w:rsidRDefault="00ED7639">
      <w:pPr>
        <w:numPr>
          <w:ilvl w:val="0"/>
          <w:numId w:val="12"/>
        </w:numPr>
        <w:spacing w:line="240" w:lineRule="auto"/>
        <w:jc w:val="both"/>
      </w:pPr>
      <w:r>
        <w:t>PLANO_02: Zanjas y buzones</w:t>
      </w:r>
    </w:p>
    <w:p w:rsidR="00CD3F2B" w:rsidRDefault="00CD3F2B">
      <w:pPr>
        <w:spacing w:line="240" w:lineRule="auto"/>
        <w:ind w:left="786" w:hanging="708"/>
      </w:pPr>
    </w:p>
    <w:p w:rsidR="00CD3F2B" w:rsidRDefault="00CD3F2B">
      <w:pPr>
        <w:spacing w:line="240" w:lineRule="auto"/>
        <w:ind w:left="786" w:hanging="708"/>
      </w:pPr>
    </w:p>
    <w:p w:rsidR="00CD3F2B" w:rsidRDefault="00ED7639">
      <w:pPr>
        <w:numPr>
          <w:ilvl w:val="0"/>
          <w:numId w:val="5"/>
        </w:numPr>
        <w:spacing w:line="240" w:lineRule="auto"/>
        <w:ind w:left="425"/>
        <w:jc w:val="both"/>
        <w:rPr>
          <w:b/>
        </w:rPr>
      </w:pPr>
      <w:r>
        <w:rPr>
          <w:b/>
        </w:rPr>
        <w:t>GARANTÍA COMERCIAL</w:t>
      </w:r>
    </w:p>
    <w:p w:rsidR="00CD3F2B" w:rsidRDefault="00CD3F2B">
      <w:pPr>
        <w:spacing w:line="240" w:lineRule="auto"/>
        <w:ind w:left="786" w:hanging="708"/>
        <w:rPr>
          <w:b/>
        </w:rPr>
      </w:pPr>
    </w:p>
    <w:p w:rsidR="00CD3F2B" w:rsidRDefault="00ED7639">
      <w:pPr>
        <w:spacing w:line="240" w:lineRule="auto"/>
        <w:ind w:left="425" w:firstLine="1"/>
        <w:jc w:val="both"/>
      </w:pPr>
      <w:r>
        <w:rPr>
          <w:b/>
        </w:rPr>
        <w:t>Alcance de la garantía</w:t>
      </w:r>
      <w:r>
        <w:rPr>
          <w:b/>
        </w:rPr>
        <w:tab/>
        <w:t xml:space="preserve">: </w:t>
      </w:r>
      <w:r>
        <w:t>Garantía estándar.</w:t>
      </w:r>
    </w:p>
    <w:p w:rsidR="00CD3F2B" w:rsidRDefault="00ED7639">
      <w:pPr>
        <w:spacing w:line="240" w:lineRule="auto"/>
        <w:ind w:left="425" w:firstLine="1"/>
        <w:jc w:val="both"/>
        <w:rPr>
          <w:b/>
        </w:rPr>
      </w:pPr>
      <w:r>
        <w:rPr>
          <w:b/>
        </w:rPr>
        <w:t>Periodo de Garantía</w:t>
      </w:r>
      <w:r>
        <w:rPr>
          <w:b/>
        </w:rPr>
        <w:tab/>
        <w:t xml:space="preserve">: </w:t>
      </w:r>
      <w:r>
        <w:t>01 año</w:t>
      </w:r>
    </w:p>
    <w:p w:rsidR="00CD3F2B" w:rsidRDefault="00CD3F2B">
      <w:pPr>
        <w:spacing w:line="240" w:lineRule="auto"/>
        <w:ind w:left="786" w:hanging="708"/>
        <w:jc w:val="both"/>
        <w:rPr>
          <w:highlight w:val="yellow"/>
        </w:rPr>
      </w:pPr>
    </w:p>
    <w:p w:rsidR="00CD3F2B" w:rsidRDefault="00CD3F2B">
      <w:pPr>
        <w:spacing w:line="240" w:lineRule="auto"/>
        <w:ind w:left="786" w:hanging="708"/>
        <w:jc w:val="both"/>
        <w:rPr>
          <w:highlight w:val="yellow"/>
        </w:rPr>
      </w:pPr>
    </w:p>
    <w:p w:rsidR="00CD3F2B" w:rsidRDefault="00ED7639">
      <w:pPr>
        <w:numPr>
          <w:ilvl w:val="0"/>
          <w:numId w:val="5"/>
        </w:numPr>
        <w:spacing w:line="240" w:lineRule="auto"/>
        <w:ind w:left="425"/>
        <w:jc w:val="both"/>
        <w:rPr>
          <w:b/>
        </w:rPr>
      </w:pPr>
      <w:r>
        <w:rPr>
          <w:b/>
        </w:rPr>
        <w:t>LUGAR Y PLAZO DE LA PRESTACIÓN DEL SERVICIO</w:t>
      </w:r>
    </w:p>
    <w:p w:rsidR="00CD3F2B" w:rsidRDefault="00CD3F2B">
      <w:pPr>
        <w:spacing w:line="240" w:lineRule="auto"/>
        <w:ind w:left="786" w:hanging="708"/>
      </w:pPr>
    </w:p>
    <w:p w:rsidR="00CD3F2B" w:rsidRDefault="00ED7639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line="240" w:lineRule="auto"/>
        <w:ind w:left="425"/>
        <w:jc w:val="both"/>
      </w:pPr>
      <w:r>
        <w:t>El lugar para el servi</w:t>
      </w:r>
      <w:r>
        <w:t>cio es en la Sede de la Pontificia Universidad Católica del Perú (PUCP) - Campus Sur, distrito de Santa María del Mar, provincia de Lima, departamento de Lima.</w:t>
      </w:r>
    </w:p>
    <w:p w:rsidR="00CD3F2B" w:rsidRDefault="00ED7639">
      <w:pPr>
        <w:spacing w:line="240" w:lineRule="auto"/>
        <w:ind w:left="425"/>
        <w:jc w:val="both"/>
      </w:pPr>
      <w:r>
        <w:tab/>
      </w:r>
    </w:p>
    <w:p w:rsidR="00CD3F2B" w:rsidRDefault="00ED7639">
      <w:pPr>
        <w:spacing w:line="240" w:lineRule="auto"/>
        <w:ind w:left="425"/>
        <w:jc w:val="both"/>
      </w:pPr>
      <w:r>
        <w:t>El plazo de ejecución del servicio será de cincuenta (50) días calendarios, que será contabilizado a partir del día siguiente de la notificación de la orden de servicio mediante correo electrónico. Para lo cual se detalla lo siguiente:</w:t>
      </w:r>
    </w:p>
    <w:p w:rsidR="00CD3F2B" w:rsidRDefault="00CD3F2B">
      <w:pPr>
        <w:spacing w:line="240" w:lineRule="auto"/>
        <w:ind w:left="425"/>
        <w:jc w:val="both"/>
      </w:pPr>
    </w:p>
    <w:p w:rsidR="00CD3F2B" w:rsidRDefault="00CD3F2B">
      <w:pPr>
        <w:spacing w:line="240" w:lineRule="auto"/>
        <w:ind w:left="425"/>
        <w:jc w:val="both"/>
      </w:pPr>
    </w:p>
    <w:tbl>
      <w:tblPr>
        <w:tblStyle w:val="a2"/>
        <w:tblW w:w="8865" w:type="dxa"/>
        <w:tblInd w:w="19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970"/>
        <w:gridCol w:w="2895"/>
      </w:tblGrid>
      <w:tr w:rsidR="00CD3F2B">
        <w:trPr>
          <w:trHeight w:val="540"/>
        </w:trPr>
        <w:tc>
          <w:tcPr>
            <w:tcW w:w="5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3F2B" w:rsidRDefault="00ED7639">
            <w:pPr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ENTREGABLE</w:t>
            </w:r>
          </w:p>
        </w:tc>
        <w:tc>
          <w:tcPr>
            <w:tcW w:w="2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3F2B" w:rsidRDefault="00ED7639">
            <w:pPr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PLAZO D</w:t>
            </w:r>
            <w:r>
              <w:rPr>
                <w:b/>
              </w:rPr>
              <w:t>E LA PRESTACIÓN</w:t>
            </w:r>
          </w:p>
        </w:tc>
      </w:tr>
      <w:tr w:rsidR="00CD3F2B">
        <w:trPr>
          <w:trHeight w:val="1325"/>
        </w:trPr>
        <w:tc>
          <w:tcPr>
            <w:tcW w:w="5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3F2B" w:rsidRDefault="00ED7639">
            <w:pPr>
              <w:spacing w:line="240" w:lineRule="auto"/>
              <w:jc w:val="both"/>
            </w:pPr>
            <w:r>
              <w:t>Entregable 1 - Informe que contiene:</w:t>
            </w:r>
          </w:p>
          <w:p w:rsidR="00CD3F2B" w:rsidRDefault="00ED7639">
            <w:pPr>
              <w:numPr>
                <w:ilvl w:val="0"/>
                <w:numId w:val="13"/>
              </w:numPr>
              <w:spacing w:line="240" w:lineRule="auto"/>
              <w:ind w:left="283" w:hanging="153"/>
              <w:jc w:val="both"/>
            </w:pPr>
            <w:r>
              <w:t>Cronograma de actividades.</w:t>
            </w:r>
          </w:p>
          <w:p w:rsidR="00CD3F2B" w:rsidRDefault="00ED7639">
            <w:pPr>
              <w:numPr>
                <w:ilvl w:val="0"/>
                <w:numId w:val="13"/>
              </w:numPr>
              <w:spacing w:line="240" w:lineRule="auto"/>
              <w:ind w:left="283" w:hanging="153"/>
              <w:jc w:val="both"/>
            </w:pPr>
            <w:r>
              <w:t xml:space="preserve">Informe acerca de estudio de ingeniería </w:t>
            </w:r>
            <w:r>
              <w:rPr>
                <w:i/>
              </w:rPr>
              <w:t>“topografía y de suelos”</w:t>
            </w:r>
            <w:r>
              <w:t xml:space="preserve"> (detallados en el inciso 5.1.2)</w:t>
            </w:r>
          </w:p>
        </w:tc>
        <w:tc>
          <w:tcPr>
            <w:tcW w:w="2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3F2B" w:rsidRDefault="00ED7639">
            <w:pPr>
              <w:spacing w:line="240" w:lineRule="auto"/>
              <w:jc w:val="both"/>
            </w:pPr>
            <w:r>
              <w:t>15 días calendarios</w:t>
            </w:r>
          </w:p>
        </w:tc>
      </w:tr>
      <w:tr w:rsidR="00CD3F2B">
        <w:trPr>
          <w:trHeight w:val="1125"/>
        </w:trPr>
        <w:tc>
          <w:tcPr>
            <w:tcW w:w="5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3F2B" w:rsidRDefault="00ED7639">
            <w:pPr>
              <w:spacing w:line="240" w:lineRule="auto"/>
              <w:jc w:val="both"/>
            </w:pPr>
            <w:r>
              <w:t>Entregable 2: Informe de finalización y el expediente técnico  que deberá comenzar a partir del día siguiente de la notificación de la aceptación del primer entregable, el cual se comunicará a través de correo electrónico.</w:t>
            </w:r>
          </w:p>
          <w:p w:rsidR="00CD3F2B" w:rsidRDefault="00ED7639">
            <w:pPr>
              <w:spacing w:line="240" w:lineRule="auto"/>
              <w:jc w:val="both"/>
              <w:rPr>
                <w:color w:val="FF0000"/>
              </w:rPr>
            </w:pPr>
            <w:r>
              <w:t>El expediente técnico debe inclui</w:t>
            </w:r>
            <w:r>
              <w:t>r todo lo solicitado en el inciso 5.1</w:t>
            </w:r>
          </w:p>
        </w:tc>
        <w:tc>
          <w:tcPr>
            <w:tcW w:w="2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3F2B" w:rsidRDefault="00ED7639">
            <w:pPr>
              <w:spacing w:line="240" w:lineRule="auto"/>
              <w:jc w:val="both"/>
            </w:pPr>
            <w:r>
              <w:t>35 días calendarios</w:t>
            </w:r>
          </w:p>
        </w:tc>
      </w:tr>
    </w:tbl>
    <w:p w:rsidR="00CD3F2B" w:rsidRDefault="00ED7639">
      <w:pPr>
        <w:spacing w:line="240" w:lineRule="auto"/>
        <w:jc w:val="both"/>
      </w:pPr>
      <w:r>
        <w:t>Nota: Los planos deberán ser firmados y sellados por un profesional colegiado y habilitado.</w:t>
      </w:r>
    </w:p>
    <w:p w:rsidR="00CD3F2B" w:rsidRDefault="00CD3F2B">
      <w:pPr>
        <w:spacing w:line="240" w:lineRule="auto"/>
        <w:jc w:val="both"/>
      </w:pPr>
    </w:p>
    <w:p w:rsidR="00CD3F2B" w:rsidRDefault="00ED7639">
      <w:pPr>
        <w:numPr>
          <w:ilvl w:val="0"/>
          <w:numId w:val="5"/>
        </w:numPr>
        <w:spacing w:line="240" w:lineRule="auto"/>
        <w:ind w:left="425"/>
        <w:jc w:val="both"/>
        <w:rPr>
          <w:b/>
        </w:rPr>
      </w:pPr>
      <w:r>
        <w:rPr>
          <w:b/>
        </w:rPr>
        <w:t>CONFORMIDAD DE LA PRESTACIÓN</w:t>
      </w:r>
    </w:p>
    <w:p w:rsidR="00CD3F2B" w:rsidRDefault="00CD3F2B">
      <w:pPr>
        <w:spacing w:line="240" w:lineRule="auto"/>
        <w:ind w:left="786" w:hanging="708"/>
        <w:rPr>
          <w:b/>
        </w:rPr>
      </w:pPr>
    </w:p>
    <w:p w:rsidR="00CD3F2B" w:rsidRDefault="00ED7639">
      <w:pPr>
        <w:spacing w:line="240" w:lineRule="auto"/>
        <w:ind w:left="709" w:hanging="283"/>
      </w:pPr>
      <w:r>
        <w:t>La conformidad del servicio será emitida de acuerdo al siguiente detalle:</w:t>
      </w:r>
    </w:p>
    <w:p w:rsidR="00CD3F2B" w:rsidRDefault="00ED7639">
      <w:pPr>
        <w:numPr>
          <w:ilvl w:val="0"/>
          <w:numId w:val="4"/>
        </w:numPr>
        <w:spacing w:line="240" w:lineRule="auto"/>
        <w:ind w:left="851" w:hanging="425"/>
        <w:jc w:val="both"/>
        <w:rPr>
          <w:rFonts w:ascii="Noto Sans Symbols" w:eastAsia="Noto Sans Symbols" w:hAnsi="Noto Sans Symbols" w:cs="Noto Sans Symbols"/>
        </w:rPr>
      </w:pPr>
      <w:r>
        <w:t xml:space="preserve">La conformidad del servicio estará a cargo del encargado del Director del ROJ-IGP, previo visto bueno del responsable del grupo de </w:t>
      </w:r>
      <w:proofErr w:type="spellStart"/>
      <w:r>
        <w:t>I&amp;D+i</w:t>
      </w:r>
      <w:proofErr w:type="spellEnd"/>
      <w:r>
        <w:t xml:space="preserve"> del ROJ-IGP.</w:t>
      </w:r>
    </w:p>
    <w:p w:rsidR="00CD3F2B" w:rsidRDefault="00CD3F2B">
      <w:pPr>
        <w:spacing w:line="240" w:lineRule="auto"/>
        <w:jc w:val="both"/>
      </w:pPr>
    </w:p>
    <w:p w:rsidR="00CD3F2B" w:rsidRDefault="00CD3F2B">
      <w:pPr>
        <w:spacing w:line="240" w:lineRule="auto"/>
        <w:jc w:val="both"/>
      </w:pPr>
    </w:p>
    <w:p w:rsidR="00CD3F2B" w:rsidRDefault="00ED7639">
      <w:pPr>
        <w:numPr>
          <w:ilvl w:val="0"/>
          <w:numId w:val="5"/>
        </w:numPr>
        <w:spacing w:line="240" w:lineRule="auto"/>
        <w:ind w:left="425"/>
        <w:jc w:val="both"/>
        <w:rPr>
          <w:b/>
        </w:rPr>
      </w:pPr>
      <w:r>
        <w:rPr>
          <w:b/>
        </w:rPr>
        <w:t>COORDINACION, SUPERVISION Y CONFORMIDAD DEL SERVICIO:</w:t>
      </w:r>
    </w:p>
    <w:p w:rsidR="00CD3F2B" w:rsidRDefault="00CD3F2B">
      <w:pPr>
        <w:spacing w:line="240" w:lineRule="auto"/>
        <w:ind w:left="786" w:hanging="708"/>
      </w:pPr>
    </w:p>
    <w:p w:rsidR="00CD3F2B" w:rsidRDefault="00ED7639">
      <w:pPr>
        <w:numPr>
          <w:ilvl w:val="0"/>
          <w:numId w:val="4"/>
        </w:numPr>
        <w:spacing w:line="240" w:lineRule="auto"/>
        <w:ind w:left="851" w:hanging="425"/>
        <w:jc w:val="both"/>
        <w:rPr>
          <w:rFonts w:ascii="Noto Sans Symbols" w:eastAsia="Noto Sans Symbols" w:hAnsi="Noto Sans Symbols" w:cs="Noto Sans Symbols"/>
        </w:rPr>
      </w:pPr>
      <w:r>
        <w:t>La coordinación, supervisión estará a cargo del r</w:t>
      </w:r>
      <w:r>
        <w:t xml:space="preserve">esponsable del grupo de </w:t>
      </w:r>
      <w:proofErr w:type="spellStart"/>
      <w:r>
        <w:t>I&amp;D+i</w:t>
      </w:r>
      <w:proofErr w:type="spellEnd"/>
      <w:r>
        <w:t xml:space="preserve"> del ROJ-IGP. </w:t>
      </w:r>
    </w:p>
    <w:p w:rsidR="00CD3F2B" w:rsidRDefault="00ED7639">
      <w:pPr>
        <w:numPr>
          <w:ilvl w:val="0"/>
          <w:numId w:val="4"/>
        </w:numPr>
        <w:spacing w:line="240" w:lineRule="auto"/>
        <w:ind w:left="851" w:hanging="425"/>
        <w:jc w:val="both"/>
        <w:rPr>
          <w:rFonts w:ascii="Noto Sans Symbols" w:eastAsia="Noto Sans Symbols" w:hAnsi="Noto Sans Symbols" w:cs="Noto Sans Symbols"/>
        </w:rPr>
      </w:pPr>
      <w:r>
        <w:t>La conformidad estará a cargo del Director del ROJ-IGP.</w:t>
      </w:r>
    </w:p>
    <w:p w:rsidR="00CD3F2B" w:rsidRDefault="00CD3F2B">
      <w:pPr>
        <w:spacing w:line="240" w:lineRule="auto"/>
        <w:jc w:val="both"/>
      </w:pPr>
    </w:p>
    <w:p w:rsidR="00CD3F2B" w:rsidRDefault="00ED7639">
      <w:pPr>
        <w:numPr>
          <w:ilvl w:val="0"/>
          <w:numId w:val="5"/>
        </w:numPr>
        <w:spacing w:line="240" w:lineRule="auto"/>
        <w:ind w:left="425"/>
        <w:jc w:val="both"/>
        <w:rPr>
          <w:b/>
        </w:rPr>
      </w:pPr>
      <w:r>
        <w:rPr>
          <w:b/>
        </w:rPr>
        <w:t>FORMA DE PAGO</w:t>
      </w:r>
    </w:p>
    <w:p w:rsidR="00CD3F2B" w:rsidRDefault="00CD3F2B">
      <w:pPr>
        <w:spacing w:line="240" w:lineRule="auto"/>
        <w:ind w:left="786" w:hanging="708"/>
        <w:jc w:val="both"/>
      </w:pPr>
    </w:p>
    <w:p w:rsidR="00CD3F2B" w:rsidRDefault="00ED7639">
      <w:pPr>
        <w:spacing w:line="240" w:lineRule="auto"/>
        <w:ind w:left="425"/>
        <w:jc w:val="both"/>
      </w:pPr>
      <w:r>
        <w:t>El pago se realizará en tres armadas de acuerdo al siguiente detalle:</w:t>
      </w:r>
    </w:p>
    <w:p w:rsidR="00CD3F2B" w:rsidRDefault="00CD3F2B">
      <w:pPr>
        <w:spacing w:line="240" w:lineRule="auto"/>
        <w:jc w:val="both"/>
      </w:pPr>
    </w:p>
    <w:tbl>
      <w:tblPr>
        <w:tblStyle w:val="a3"/>
        <w:tblW w:w="8190" w:type="dxa"/>
        <w:tblInd w:w="57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800"/>
        <w:gridCol w:w="4785"/>
        <w:gridCol w:w="1605"/>
      </w:tblGrid>
      <w:tr w:rsidR="00CD3F2B">
        <w:trPr>
          <w:trHeight w:val="540"/>
        </w:trPr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3F2B" w:rsidRDefault="00ED7639">
            <w:pPr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ENTREGABLE</w:t>
            </w:r>
          </w:p>
        </w:tc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3F2B" w:rsidRDefault="00ED7639">
            <w:pPr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CONDICIÓN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3F2B" w:rsidRDefault="00ED7639">
            <w:pPr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MONTO (%)</w:t>
            </w:r>
          </w:p>
          <w:p w:rsidR="00CD3F2B" w:rsidRDefault="00ED7639">
            <w:pPr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DEL PAGO CONTRATO</w:t>
            </w:r>
          </w:p>
        </w:tc>
      </w:tr>
      <w:tr w:rsidR="00CD3F2B">
        <w:trPr>
          <w:trHeight w:val="670"/>
        </w:trPr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3F2B" w:rsidRDefault="00ED7639">
            <w:pPr>
              <w:spacing w:line="240" w:lineRule="auto"/>
              <w:jc w:val="both"/>
            </w:pPr>
            <w:r>
              <w:t>Pago inicial</w:t>
            </w:r>
          </w:p>
        </w:tc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3F2B" w:rsidRDefault="00ED7639">
            <w:pPr>
              <w:spacing w:line="240" w:lineRule="auto"/>
              <w:jc w:val="both"/>
            </w:pPr>
            <w:r>
              <w:t>Adelanto dentro de los 3 días hábiles de emitida la orden de servicio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3F2B" w:rsidRDefault="00ED7639">
            <w:pPr>
              <w:spacing w:line="240" w:lineRule="auto"/>
              <w:jc w:val="both"/>
            </w:pPr>
            <w:r>
              <w:t>25%</w:t>
            </w:r>
          </w:p>
        </w:tc>
      </w:tr>
      <w:tr w:rsidR="00CD3F2B">
        <w:trPr>
          <w:trHeight w:val="670"/>
        </w:trPr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3F2B" w:rsidRDefault="00ED7639">
            <w:pPr>
              <w:spacing w:line="240" w:lineRule="auto"/>
              <w:jc w:val="both"/>
            </w:pPr>
            <w:r>
              <w:t>Entregable 1</w:t>
            </w:r>
          </w:p>
        </w:tc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3F2B" w:rsidRDefault="00ED7639">
            <w:pPr>
              <w:spacing w:line="240" w:lineRule="auto"/>
              <w:jc w:val="both"/>
            </w:pPr>
            <w:r>
              <w:t>Dentro de los 3 días hábiles de emitido el documento de conformidad correspondiente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3F2B" w:rsidRDefault="00ED7639">
            <w:pPr>
              <w:spacing w:line="240" w:lineRule="auto"/>
              <w:jc w:val="both"/>
            </w:pPr>
            <w:r>
              <w:t>25%</w:t>
            </w:r>
          </w:p>
        </w:tc>
      </w:tr>
      <w:tr w:rsidR="00CD3F2B">
        <w:trPr>
          <w:trHeight w:val="803"/>
        </w:trPr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3F2B" w:rsidRDefault="00ED7639">
            <w:pPr>
              <w:spacing w:line="240" w:lineRule="auto"/>
              <w:jc w:val="both"/>
            </w:pPr>
            <w:r>
              <w:t>Entregable 2</w:t>
            </w:r>
          </w:p>
        </w:tc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3F2B" w:rsidRDefault="00ED7639">
            <w:pPr>
              <w:spacing w:line="240" w:lineRule="auto"/>
              <w:jc w:val="both"/>
            </w:pPr>
            <w:r>
              <w:t>A los 7 días calendario de emitido el documento de conformidad correspondiente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3F2B" w:rsidRDefault="00ED7639">
            <w:pPr>
              <w:spacing w:line="240" w:lineRule="auto"/>
              <w:jc w:val="both"/>
            </w:pPr>
            <w:r>
              <w:t>50%</w:t>
            </w:r>
          </w:p>
        </w:tc>
      </w:tr>
    </w:tbl>
    <w:p w:rsidR="00CD3F2B" w:rsidRDefault="00ED7639">
      <w:pPr>
        <w:spacing w:line="240" w:lineRule="auto"/>
        <w:ind w:left="425"/>
        <w:jc w:val="both"/>
      </w:pPr>
      <w:r>
        <w:t>Para cada pago, el contratista deberá presentar lo siguiente:</w:t>
      </w:r>
    </w:p>
    <w:p w:rsidR="00CD3F2B" w:rsidRDefault="00CD3F2B">
      <w:pPr>
        <w:spacing w:line="240" w:lineRule="auto"/>
        <w:jc w:val="both"/>
      </w:pPr>
    </w:p>
    <w:p w:rsidR="00CD3F2B" w:rsidRDefault="00ED7639">
      <w:pPr>
        <w:numPr>
          <w:ilvl w:val="0"/>
          <w:numId w:val="7"/>
        </w:numPr>
        <w:spacing w:line="240" w:lineRule="auto"/>
        <w:jc w:val="both"/>
      </w:pPr>
      <w:r>
        <w:t>Factura</w:t>
      </w:r>
    </w:p>
    <w:p w:rsidR="00CD3F2B" w:rsidRDefault="00ED7639">
      <w:pPr>
        <w:numPr>
          <w:ilvl w:val="0"/>
          <w:numId w:val="7"/>
        </w:numPr>
        <w:spacing w:line="240" w:lineRule="auto"/>
        <w:jc w:val="both"/>
      </w:pPr>
      <w:r>
        <w:t>Código de Cuenta Interbancaria</w:t>
      </w:r>
    </w:p>
    <w:p w:rsidR="00CD3F2B" w:rsidRDefault="00CD3F2B">
      <w:pPr>
        <w:spacing w:line="240" w:lineRule="auto"/>
        <w:jc w:val="both"/>
      </w:pPr>
    </w:p>
    <w:p w:rsidR="00CD3F2B" w:rsidRDefault="00ED7639">
      <w:pPr>
        <w:numPr>
          <w:ilvl w:val="0"/>
          <w:numId w:val="5"/>
        </w:numPr>
        <w:spacing w:line="240" w:lineRule="auto"/>
        <w:ind w:left="425"/>
        <w:jc w:val="both"/>
        <w:rPr>
          <w:b/>
        </w:rPr>
      </w:pPr>
      <w:r>
        <w:rPr>
          <w:b/>
        </w:rPr>
        <w:t>CONDICIONES GENERALES</w:t>
      </w:r>
    </w:p>
    <w:p w:rsidR="00CD3F2B" w:rsidRDefault="00CD3F2B">
      <w:pPr>
        <w:spacing w:line="240" w:lineRule="auto"/>
        <w:ind w:left="786" w:hanging="708"/>
        <w:jc w:val="both"/>
      </w:pPr>
    </w:p>
    <w:p w:rsidR="00CD3F2B" w:rsidRDefault="00ED7639">
      <w:pPr>
        <w:spacing w:line="240" w:lineRule="auto"/>
        <w:ind w:left="425"/>
        <w:jc w:val="both"/>
      </w:pPr>
      <w:r>
        <w:t>El Proveedor se compromete a suministrar a la Empresa el/los bien(es) y/o servicios detallados en la orden de compra y/o servicios, de acuerdo a las características, especificaciones técnicas y operativas contenidas en dicho documento.</w:t>
      </w:r>
    </w:p>
    <w:p w:rsidR="00CD3F2B" w:rsidRDefault="00CD3F2B">
      <w:pPr>
        <w:spacing w:line="240" w:lineRule="auto"/>
        <w:ind w:left="425"/>
        <w:jc w:val="both"/>
      </w:pPr>
    </w:p>
    <w:p w:rsidR="00CD3F2B" w:rsidRDefault="00ED7639">
      <w:pPr>
        <w:spacing w:line="240" w:lineRule="auto"/>
        <w:ind w:left="425"/>
        <w:jc w:val="both"/>
      </w:pPr>
      <w:r>
        <w:t xml:space="preserve">En el supuesto que </w:t>
      </w:r>
      <w:r>
        <w:t>el Proveedor no cumpliese con la entrega y/o arriendo del bien y/o prestación del servicio en los plazos y condiciones indicados en la Orden de Compra y/o servicios, se aplicarán las penalidades del caso, según lo indicado en el Inciso 12.</w:t>
      </w:r>
    </w:p>
    <w:p w:rsidR="00CD3F2B" w:rsidRDefault="00CD3F2B">
      <w:pPr>
        <w:spacing w:line="240" w:lineRule="auto"/>
        <w:ind w:left="425"/>
        <w:jc w:val="both"/>
      </w:pPr>
    </w:p>
    <w:p w:rsidR="00CD3F2B" w:rsidRDefault="00ED7639">
      <w:pPr>
        <w:spacing w:line="240" w:lineRule="auto"/>
        <w:ind w:left="425"/>
        <w:jc w:val="both"/>
      </w:pPr>
      <w:r>
        <w:t>No será procesa</w:t>
      </w:r>
      <w:r>
        <w:t xml:space="preserve">do el pago correspondiente en caso el Proveedor omita presentar el comprobante de pago, la guía de remisión, informe del servicio firmado por personal competente y Acta de conformidad de los servicios a satisfacción de la </w:t>
      </w:r>
      <w:proofErr w:type="gramStart"/>
      <w:r>
        <w:t>Empresa .</w:t>
      </w:r>
      <w:proofErr w:type="gramEnd"/>
      <w:r>
        <w:t xml:space="preserve"> El pago de cualquier ade</w:t>
      </w:r>
      <w:r>
        <w:t xml:space="preserve">lanto por parte de la Empresa no implica la renuncia de cualquier derecho ni la aceptación y/o conformidad de el/los bien(es) y/o servicio(s) entregados. </w:t>
      </w:r>
      <w:r>
        <w:lastRenderedPageBreak/>
        <w:t>Asimismo, el Proveedor será responsable por cualquier diferencia de fletes, portes, impuestos o cuales</w:t>
      </w:r>
      <w:r>
        <w:t>quiera otros gastos originados por el incumplimiento de instrucciones de envío o de cualquier otra de las condiciones establecidas en la Orden de compra y/o servicios.</w:t>
      </w:r>
    </w:p>
    <w:p w:rsidR="00CD3F2B" w:rsidRDefault="00CD3F2B">
      <w:pPr>
        <w:spacing w:line="240" w:lineRule="auto"/>
        <w:ind w:left="425"/>
        <w:jc w:val="both"/>
      </w:pPr>
    </w:p>
    <w:p w:rsidR="00CD3F2B" w:rsidRDefault="00ED7639">
      <w:pPr>
        <w:spacing w:line="240" w:lineRule="auto"/>
        <w:ind w:left="425"/>
        <w:jc w:val="both"/>
      </w:pPr>
      <w:r>
        <w:t>Toda la información y/o documentos a que el Proveedor haya tenido acceso en razón de la</w:t>
      </w:r>
      <w:r>
        <w:t xml:space="preserve"> Orden de compra y/o servicios o que haya sido proporcionada(os) por la Empresa (la “Información Confidencial”) continuará siendo exclusiva propiedad de La Empresa, obligándose el Proveedor a mantener el deber de confidencialidad sobre dicha información y/</w:t>
      </w:r>
      <w:r>
        <w:t>o documentos.</w:t>
      </w:r>
    </w:p>
    <w:p w:rsidR="00CD3F2B" w:rsidRDefault="00CD3F2B">
      <w:pPr>
        <w:spacing w:line="240" w:lineRule="auto"/>
        <w:ind w:left="786"/>
        <w:jc w:val="both"/>
        <w:rPr>
          <w:b/>
        </w:rPr>
      </w:pPr>
    </w:p>
    <w:p w:rsidR="00CD3F2B" w:rsidRDefault="00ED7639">
      <w:pPr>
        <w:numPr>
          <w:ilvl w:val="0"/>
          <w:numId w:val="5"/>
        </w:numPr>
        <w:spacing w:line="240" w:lineRule="auto"/>
        <w:ind w:left="425"/>
        <w:jc w:val="both"/>
        <w:rPr>
          <w:b/>
        </w:rPr>
      </w:pPr>
      <w:r>
        <w:rPr>
          <w:b/>
        </w:rPr>
        <w:t>PENALIDADES</w:t>
      </w:r>
    </w:p>
    <w:p w:rsidR="00CD3F2B" w:rsidRDefault="00CD3F2B">
      <w:pPr>
        <w:spacing w:line="240" w:lineRule="auto"/>
        <w:ind w:left="786" w:hanging="708"/>
        <w:jc w:val="both"/>
      </w:pPr>
    </w:p>
    <w:p w:rsidR="00CD3F2B" w:rsidRDefault="00ED7639">
      <w:pPr>
        <w:spacing w:line="240" w:lineRule="auto"/>
        <w:ind w:left="425"/>
        <w:jc w:val="both"/>
      </w:pPr>
      <w:r>
        <w:t xml:space="preserve">En caso de retraso injustificado en la ejecución de las prestaciones objeto del contrato a cargo del Proveedor, cuyos plazos están establecidos en el presente contrato, la Empresa le aplicará al Proveedor una penalidad por cada </w:t>
      </w:r>
      <w:r>
        <w:t>día de retraso hasta por un monto máximo equivalente al ocho por ciento (8%) del monto incumplido del contrato.</w:t>
      </w:r>
    </w:p>
    <w:p w:rsidR="00CD3F2B" w:rsidRDefault="00CD3F2B">
      <w:pPr>
        <w:spacing w:line="240" w:lineRule="auto"/>
        <w:ind w:left="786" w:hanging="708"/>
        <w:jc w:val="both"/>
      </w:pPr>
    </w:p>
    <w:p w:rsidR="00CD3F2B" w:rsidRDefault="00ED7639">
      <w:pPr>
        <w:spacing w:line="240" w:lineRule="auto"/>
        <w:ind w:left="3259" w:hanging="705"/>
        <w:jc w:val="both"/>
      </w:pPr>
      <w:r>
        <w:t>Penalidad diaria:</w:t>
      </w:r>
      <w:r>
        <w:rPr>
          <w:sz w:val="34"/>
          <w:szCs w:val="34"/>
        </w:rPr>
        <w:t xml:space="preserve"> </w:t>
      </w:r>
      <m:oMath>
        <m:f>
          <m:fPr>
            <m:ctrlPr>
              <w:rPr>
                <w:rFonts w:ascii="Cambria Math" w:hAnsi="Cambria Math"/>
                <w:sz w:val="34"/>
                <w:szCs w:val="34"/>
              </w:rPr>
            </m:ctrlPr>
          </m:fPr>
          <m:num>
            <m:r>
              <w:rPr>
                <w:rFonts w:ascii="Cambria Math" w:hAnsi="Cambria Math"/>
                <w:sz w:val="34"/>
                <w:szCs w:val="34"/>
              </w:rPr>
              <m:t xml:space="preserve">0.08 </m:t>
            </m:r>
            <m:r>
              <w:rPr>
                <w:rFonts w:ascii="Cambria Math" w:hAnsi="Cambria Math"/>
                <w:sz w:val="34"/>
                <w:szCs w:val="34"/>
              </w:rPr>
              <m:t>x</m:t>
            </m:r>
            <m:r>
              <w:rPr>
                <w:rFonts w:ascii="Cambria Math" w:hAnsi="Cambria Math"/>
                <w:sz w:val="34"/>
                <w:szCs w:val="34"/>
              </w:rPr>
              <m:t xml:space="preserve"> </m:t>
            </m:r>
            <m:r>
              <w:rPr>
                <w:rFonts w:ascii="Cambria Math" w:hAnsi="Cambria Math"/>
                <w:sz w:val="34"/>
                <w:szCs w:val="34"/>
              </w:rPr>
              <m:t>Monto</m:t>
            </m:r>
          </m:num>
          <m:den>
            <m:r>
              <w:rPr>
                <w:rFonts w:ascii="Cambria Math" w:hAnsi="Cambria Math"/>
                <w:sz w:val="34"/>
                <w:szCs w:val="34"/>
              </w:rPr>
              <m:t>F</m:t>
            </m:r>
            <m:r>
              <w:rPr>
                <w:rFonts w:ascii="Cambria Math" w:hAnsi="Cambria Math"/>
                <w:sz w:val="34"/>
                <w:szCs w:val="34"/>
              </w:rPr>
              <m:t xml:space="preserve"> </m:t>
            </m:r>
            <m:r>
              <w:rPr>
                <w:rFonts w:ascii="Cambria Math" w:hAnsi="Cambria Math"/>
                <w:sz w:val="34"/>
                <w:szCs w:val="34"/>
              </w:rPr>
              <m:t>x</m:t>
            </m:r>
            <m:r>
              <w:rPr>
                <w:rFonts w:ascii="Cambria Math" w:hAnsi="Cambria Math"/>
                <w:sz w:val="34"/>
                <w:szCs w:val="34"/>
              </w:rPr>
              <m:t xml:space="preserve"> </m:t>
            </m:r>
            <m:r>
              <w:rPr>
                <w:rFonts w:ascii="Cambria Math" w:hAnsi="Cambria Math"/>
                <w:sz w:val="34"/>
                <w:szCs w:val="34"/>
              </w:rPr>
              <m:t>Plazo</m:t>
            </m:r>
            <m:r>
              <w:rPr>
                <w:rFonts w:ascii="Cambria Math" w:hAnsi="Cambria Math"/>
                <w:sz w:val="34"/>
                <w:szCs w:val="34"/>
              </w:rPr>
              <m:t xml:space="preserve"> </m:t>
            </m:r>
            <m:r>
              <w:rPr>
                <w:rFonts w:ascii="Cambria Math" w:hAnsi="Cambria Math"/>
                <w:sz w:val="34"/>
                <w:szCs w:val="34"/>
              </w:rPr>
              <m:t>en</m:t>
            </m:r>
            <m:r>
              <w:rPr>
                <w:rFonts w:ascii="Cambria Math" w:hAnsi="Cambria Math"/>
                <w:sz w:val="34"/>
                <w:szCs w:val="34"/>
              </w:rPr>
              <m:t xml:space="preserve"> </m:t>
            </m:r>
            <m:r>
              <w:rPr>
                <w:rFonts w:ascii="Cambria Math" w:hAnsi="Cambria Math"/>
                <w:sz w:val="34"/>
                <w:szCs w:val="34"/>
              </w:rPr>
              <m:t>d</m:t>
            </m:r>
            <m:r>
              <w:rPr>
                <w:rFonts w:ascii="Cambria Math" w:hAnsi="Cambria Math"/>
                <w:sz w:val="34"/>
                <w:szCs w:val="34"/>
              </w:rPr>
              <m:t>í</m:t>
            </m:r>
            <m:r>
              <w:rPr>
                <w:rFonts w:ascii="Cambria Math" w:hAnsi="Cambria Math"/>
                <w:sz w:val="34"/>
                <w:szCs w:val="34"/>
              </w:rPr>
              <m:t>as</m:t>
            </m:r>
          </m:den>
        </m:f>
      </m:oMath>
      <w:r>
        <w:t xml:space="preserve">                       </w:t>
      </w:r>
    </w:p>
    <w:p w:rsidR="00CD3F2B" w:rsidRDefault="00CD3F2B">
      <w:pPr>
        <w:spacing w:line="240" w:lineRule="auto"/>
        <w:ind w:left="786" w:hanging="708"/>
        <w:jc w:val="both"/>
      </w:pPr>
    </w:p>
    <w:p w:rsidR="00CD3F2B" w:rsidRDefault="00ED7639">
      <w:pPr>
        <w:spacing w:line="240" w:lineRule="auto"/>
        <w:ind w:left="1275" w:hanging="705"/>
        <w:jc w:val="both"/>
      </w:pPr>
      <w:proofErr w:type="spellStart"/>
      <w:r>
        <w:t>Donde</w:t>
      </w:r>
      <w:proofErr w:type="spellEnd"/>
      <w:r>
        <w:t>:</w:t>
      </w:r>
    </w:p>
    <w:p w:rsidR="00CD3F2B" w:rsidRDefault="00ED7639">
      <w:pPr>
        <w:spacing w:line="240" w:lineRule="auto"/>
        <w:ind w:left="1275" w:hanging="705"/>
        <w:jc w:val="both"/>
      </w:pPr>
      <m:oMath>
        <m:r>
          <w:rPr>
            <w:rFonts w:ascii="Cambria Math" w:hAnsi="Cambria Math"/>
            <w:sz w:val="16"/>
            <w:szCs w:val="16"/>
          </w:rPr>
          <m:t>F</m:t>
        </m:r>
      </m:oMath>
      <w:r>
        <w:rPr>
          <w:sz w:val="26"/>
          <w:szCs w:val="26"/>
        </w:rPr>
        <w:t xml:space="preserve"> </w:t>
      </w:r>
      <w:r>
        <w:t>= 0.20 para plazos mayores a sesenta (60) días o;</w:t>
      </w:r>
    </w:p>
    <w:p w:rsidR="00CD3F2B" w:rsidRDefault="00ED7639">
      <w:pPr>
        <w:spacing w:line="240" w:lineRule="auto"/>
        <w:ind w:left="1275" w:hanging="705"/>
        <w:jc w:val="both"/>
      </w:pPr>
      <m:oMath>
        <m:r>
          <w:rPr>
            <w:rFonts w:ascii="Cambria Math" w:hAnsi="Cambria Math"/>
            <w:sz w:val="16"/>
            <w:szCs w:val="16"/>
          </w:rPr>
          <m:t>F</m:t>
        </m:r>
      </m:oMath>
      <w:r>
        <w:rPr>
          <w:sz w:val="26"/>
          <w:szCs w:val="26"/>
        </w:rPr>
        <w:t xml:space="preserve"> </w:t>
      </w:r>
      <w:r>
        <w:t>= 0.35 para plazos menores o iguales a sesenta (60) días.</w:t>
      </w:r>
    </w:p>
    <w:p w:rsidR="00CD3F2B" w:rsidRDefault="00CD3F2B">
      <w:pPr>
        <w:spacing w:line="240" w:lineRule="auto"/>
        <w:jc w:val="both"/>
      </w:pPr>
    </w:p>
    <w:p w:rsidR="00CD3F2B" w:rsidRDefault="00CD3F2B">
      <w:pPr>
        <w:spacing w:line="240" w:lineRule="auto"/>
        <w:jc w:val="both"/>
      </w:pPr>
    </w:p>
    <w:p w:rsidR="00CD3F2B" w:rsidRDefault="00ED7639">
      <w:pPr>
        <w:numPr>
          <w:ilvl w:val="0"/>
          <w:numId w:val="5"/>
        </w:numPr>
        <w:spacing w:line="240" w:lineRule="auto"/>
        <w:ind w:left="425"/>
        <w:jc w:val="both"/>
        <w:rPr>
          <w:b/>
        </w:rPr>
      </w:pPr>
      <w:r>
        <w:rPr>
          <w:b/>
        </w:rPr>
        <w:t>RESPONSABILIDAD DEL CONTRATISTA</w:t>
      </w:r>
    </w:p>
    <w:p w:rsidR="00CD3F2B" w:rsidRDefault="00ED7639">
      <w:pPr>
        <w:spacing w:line="240" w:lineRule="auto"/>
        <w:ind w:left="425"/>
        <w:jc w:val="both"/>
        <w:rPr>
          <w:b/>
          <w:u w:val="single"/>
        </w:rPr>
      </w:pPr>
      <w:r>
        <w:t>El contratista es responsable por la calidad del servicio ofrecido y por los vicios ocultos por un plazo de uno</w:t>
      </w:r>
      <w:r>
        <w:t xml:space="preserve"> (01) año calendario contado a partir de la conformidad otorgada por la entidad.</w:t>
      </w:r>
    </w:p>
    <w:p w:rsidR="00CD3F2B" w:rsidRDefault="00CD3F2B">
      <w:pPr>
        <w:spacing w:line="240" w:lineRule="auto"/>
        <w:ind w:left="425"/>
        <w:jc w:val="both"/>
        <w:rPr>
          <w:b/>
          <w:u w:val="single"/>
        </w:rPr>
      </w:pPr>
    </w:p>
    <w:sectPr w:rsidR="00CD3F2B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2B557D"/>
    <w:multiLevelType w:val="multilevel"/>
    <w:tmpl w:val="A26804F2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>
    <w:nsid w:val="15510938"/>
    <w:multiLevelType w:val="multilevel"/>
    <w:tmpl w:val="91642DE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nsid w:val="1F2C00D7"/>
    <w:multiLevelType w:val="multilevel"/>
    <w:tmpl w:val="C1985578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">
    <w:nsid w:val="246B4B7A"/>
    <w:multiLevelType w:val="multilevel"/>
    <w:tmpl w:val="BC36F722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nsid w:val="24BC6A2D"/>
    <w:multiLevelType w:val="multilevel"/>
    <w:tmpl w:val="3E9A2A8A"/>
    <w:lvl w:ilvl="0">
      <w:start w:val="1"/>
      <w:numFmt w:val="decimal"/>
      <w:lvlText w:val="%1."/>
      <w:lvlJc w:val="left"/>
      <w:pPr>
        <w:ind w:left="786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506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226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946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66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86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106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826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546" w:hanging="180"/>
      </w:pPr>
      <w:rPr>
        <w:u w:val="none"/>
      </w:rPr>
    </w:lvl>
  </w:abstractNum>
  <w:abstractNum w:abstractNumId="5">
    <w:nsid w:val="275F1DD0"/>
    <w:multiLevelType w:val="multilevel"/>
    <w:tmpl w:val="D5F6BE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nsid w:val="2EF34AEF"/>
    <w:multiLevelType w:val="multilevel"/>
    <w:tmpl w:val="EDC2CE4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nsid w:val="33CB2EE0"/>
    <w:multiLevelType w:val="multilevel"/>
    <w:tmpl w:val="180CF4F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nsid w:val="382A62A7"/>
    <w:multiLevelType w:val="multilevel"/>
    <w:tmpl w:val="F000C5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nsid w:val="40B6578C"/>
    <w:multiLevelType w:val="multilevel"/>
    <w:tmpl w:val="B916FF8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nsid w:val="41CC6D99"/>
    <w:multiLevelType w:val="multilevel"/>
    <w:tmpl w:val="B61CD6CE"/>
    <w:lvl w:ilvl="0">
      <w:start w:val="1"/>
      <w:numFmt w:val="bullet"/>
      <w:lvlText w:val="➢"/>
      <w:lvlJc w:val="left"/>
      <w:pPr>
        <w:ind w:left="1506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2226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946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66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4386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5106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826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546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7266" w:hanging="360"/>
      </w:pPr>
      <w:rPr>
        <w:u w:val="none"/>
      </w:rPr>
    </w:lvl>
  </w:abstractNum>
  <w:abstractNum w:abstractNumId="11">
    <w:nsid w:val="43832D5B"/>
    <w:multiLevelType w:val="multilevel"/>
    <w:tmpl w:val="7FBE22D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nsid w:val="6407354D"/>
    <w:multiLevelType w:val="multilevel"/>
    <w:tmpl w:val="EF8ED1F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1"/>
  </w:num>
  <w:num w:numId="2">
    <w:abstractNumId w:val="12"/>
  </w:num>
  <w:num w:numId="3">
    <w:abstractNumId w:val="9"/>
  </w:num>
  <w:num w:numId="4">
    <w:abstractNumId w:val="10"/>
  </w:num>
  <w:num w:numId="5">
    <w:abstractNumId w:val="4"/>
  </w:num>
  <w:num w:numId="6">
    <w:abstractNumId w:val="6"/>
  </w:num>
  <w:num w:numId="7">
    <w:abstractNumId w:val="2"/>
  </w:num>
  <w:num w:numId="8">
    <w:abstractNumId w:val="7"/>
  </w:num>
  <w:num w:numId="9">
    <w:abstractNumId w:val="0"/>
  </w:num>
  <w:num w:numId="10">
    <w:abstractNumId w:val="1"/>
  </w:num>
  <w:num w:numId="11">
    <w:abstractNumId w:val="5"/>
  </w:num>
  <w:num w:numId="12">
    <w:abstractNumId w:val="3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</w:compat>
  <w:rsids>
    <w:rsidRoot w:val="00CD3F2B"/>
    <w:rsid w:val="00CD3F2B"/>
    <w:rsid w:val="00ED76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s-PE" w:eastAsia="es-PE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s-PE" w:eastAsia="es-PE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1811</Words>
  <Characters>9965</Characters>
  <Application>Microsoft Office Word</Application>
  <DocSecurity>0</DocSecurity>
  <Lines>83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11753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DIANA</dc:creator>
  <cp:lastModifiedBy>DIANA</cp:lastModifiedBy>
  <cp:revision>2</cp:revision>
  <dcterms:created xsi:type="dcterms:W3CDTF">2025-01-02T14:48:00Z</dcterms:created>
  <dcterms:modified xsi:type="dcterms:W3CDTF">2025-01-02T14:48:00Z</dcterms:modified>
</cp:coreProperties>
</file>